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9D" w:rsidRDefault="00A8309D" w:rsidP="00A8309D">
      <w:pPr>
        <w:autoSpaceDE w:val="0"/>
        <w:autoSpaceDN w:val="0"/>
        <w:adjustRightInd w:val="0"/>
        <w:ind w:firstLine="709"/>
        <w:jc w:val="both"/>
        <w:rPr>
          <w:b/>
          <w:i/>
          <w:u w:val="single"/>
        </w:rPr>
      </w:pPr>
      <w:r>
        <w:rPr>
          <w:b/>
          <w:i/>
          <w:u w:val="single"/>
        </w:rPr>
        <w:t>ИЗВЕЩЕНИЕ ОТКРЫТОГО КОНКУРСА В ЭЛЕКТРОННОЙ ФОРМЕ</w:t>
      </w:r>
    </w:p>
    <w:p w:rsidR="00A8309D" w:rsidRPr="007316DB" w:rsidRDefault="00A8309D" w:rsidP="00A8309D">
      <w:pPr>
        <w:ind w:firstLine="709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3746"/>
        <w:gridCol w:w="5189"/>
      </w:tblGrid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9F" w:rsidRDefault="008D6E9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Общие условия проведения конкурса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9F" w:rsidRDefault="008D6E9F">
            <w:pPr>
              <w:spacing w:line="256" w:lineRule="auto"/>
              <w:ind w:firstLine="11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Сведения</w:t>
            </w: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Способ определения исполнителя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Открытый конкурс в электронной форме </w:t>
            </w:r>
          </w:p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Заказчик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Федеральное казенное учреждение «Научно-производственное объединение «Специальная техника и связь» Министерства внутренних дел Российской Федерации (далее – ФКУ НПО «СТиС» МВД России), действующее от имени Российской Федерации</w:t>
            </w:r>
          </w:p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Место нахождения</w:t>
            </w:r>
          </w:p>
        </w:tc>
        <w:tc>
          <w:tcPr>
            <w:tcW w:w="2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111024, Москва, ул. Пруд Ключики, д. 2</w:t>
            </w: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9F" w:rsidRDefault="008D6E9F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stis</w:t>
            </w:r>
            <w:proofErr w:type="spellEnd"/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"mailto:mvd_tender1@mail.ru"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7"/>
                <w:bCs/>
                <w:color w:val="auto"/>
                <w:sz w:val="24"/>
                <w:szCs w:val="24"/>
                <w:u w:val="none"/>
                <w:lang w:eastAsia="en-US"/>
              </w:rPr>
              <w:t>@</w:t>
            </w:r>
            <w:proofErr w:type="spellStart"/>
            <w:r>
              <w:rPr>
                <w:rStyle w:val="a7"/>
                <w:bCs/>
                <w:color w:val="auto"/>
                <w:sz w:val="24"/>
                <w:szCs w:val="24"/>
                <w:u w:val="none"/>
                <w:lang w:val="en-US" w:eastAsia="en-US"/>
              </w:rPr>
              <w:t>mvd</w:t>
            </w:r>
            <w:proofErr w:type="spellEnd"/>
            <w:r>
              <w:rPr>
                <w:rStyle w:val="a7"/>
                <w:bCs/>
                <w:color w:val="auto"/>
                <w:sz w:val="24"/>
                <w:szCs w:val="24"/>
                <w:u w:val="none"/>
                <w:lang w:eastAsia="en-US"/>
              </w:rPr>
              <w:t>.</w:t>
            </w:r>
            <w:r>
              <w:rPr>
                <w:rStyle w:val="a7"/>
                <w:bCs/>
                <w:color w:val="auto"/>
                <w:sz w:val="24"/>
                <w:szCs w:val="24"/>
                <w:u w:val="none"/>
                <w:lang w:val="en-US" w:eastAsia="en-US"/>
              </w:rPr>
              <w:t>gov.</w:t>
            </w:r>
            <w:proofErr w:type="spellStart"/>
            <w:r>
              <w:rPr>
                <w:rStyle w:val="a7"/>
                <w:bCs/>
                <w:color w:val="auto"/>
                <w:sz w:val="24"/>
                <w:szCs w:val="24"/>
                <w:u w:val="none"/>
                <w:lang w:eastAsia="en-US"/>
              </w:rPr>
              <w:t>ru</w:t>
            </w:r>
            <w:proofErr w:type="spellEnd"/>
            <w:r>
              <w:rPr>
                <w:lang w:eastAsia="en-US"/>
              </w:rPr>
              <w:fldChar w:fldCharType="end"/>
            </w:r>
          </w:p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Ответственное должностное лицо заказчика, номер контактного телефона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Рахимкулова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Айгуль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Рафисовна</w:t>
            </w:r>
            <w:proofErr w:type="spellEnd"/>
          </w:p>
          <w:p w:rsidR="008D6E9F" w:rsidRDefault="008D6E9F">
            <w:pPr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(495) 673-91-82,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внутренний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тел. 91-82 </w:t>
            </w: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Информация о контрактной службе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spacing w:line="256" w:lineRule="auto"/>
              <w:ind w:left="-13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Контрактная служба создана заказчиком приказом ФКУ НПО «СТиС» МВД России </w:t>
            </w:r>
            <w:r>
              <w:rPr>
                <w:sz w:val="24"/>
                <w:szCs w:val="24"/>
                <w:lang w:eastAsia="en-US"/>
              </w:rPr>
              <w:br/>
              <w:t xml:space="preserve">от 17 октября 2019 г. № 871 </w:t>
            </w: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</w:t>
            </w:r>
          </w:p>
        </w:tc>
        <w:tc>
          <w:tcPr>
            <w:tcW w:w="2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111024, Москва, ул. Пруд Ключики, д. 2</w:t>
            </w: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9F" w:rsidRDefault="008D6E9F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руководителя контрактной службы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Осипцева Екатерина Викторовна </w:t>
            </w: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Ответственное за заключение контракта должностное лицо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Христофоров Алексей Валерьевич</w:t>
            </w: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+7 (495) 673-90-43, +7 (495) 673-90-52</w:t>
            </w: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Style w:val="210"/>
                <w:rFonts w:eastAsiaTheme="minorHAnsi"/>
                <w:b/>
                <w:sz w:val="24"/>
                <w:szCs w:val="24"/>
              </w:rPr>
            </w:pPr>
            <w:r>
              <w:rPr>
                <w:rStyle w:val="210"/>
                <w:rFonts w:eastAsiaTheme="minorHAnsi"/>
                <w:b/>
                <w:sz w:val="24"/>
                <w:szCs w:val="24"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rStyle w:val="210"/>
                <w:rFonts w:eastAsiaTheme="minorHAnsi"/>
                <w:b/>
                <w:sz w:val="24"/>
                <w:szCs w:val="24"/>
              </w:rPr>
              <w:t>Краткое изложение условий контракта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Style w:val="210"/>
                <w:rFonts w:eastAsiaTheme="minorHAnsi"/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объекта закупки: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8"/>
                <w:szCs w:val="8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Выполнение опытно-конструкторской работы «Модернизация официального приложения МВД России для мобильных устройств аппаратно-программного комплекса «Официальный интернет-сайт МВД России». Шифр «Дистанция»</w:t>
            </w: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Идентификационный код закупки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211770802535877220100100000057219217</w:t>
            </w:r>
          </w:p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D6E9F" w:rsidTr="008D6E9F">
        <w:trPr>
          <w:trHeight w:val="459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Описание объекта закупки: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pacing w:val="-4"/>
                <w:sz w:val="24"/>
                <w:szCs w:val="24"/>
                <w:u w:val="single"/>
                <w:lang w:eastAsia="en-US"/>
              </w:rPr>
            </w:pPr>
            <w:r>
              <w:rPr>
                <w:bCs/>
                <w:spacing w:val="-4"/>
                <w:sz w:val="24"/>
                <w:szCs w:val="24"/>
                <w:lang w:eastAsia="en-US"/>
              </w:rPr>
              <w:t xml:space="preserve">В соответствии с разделом </w:t>
            </w:r>
            <w:r>
              <w:rPr>
                <w:bCs/>
                <w:spacing w:val="-4"/>
                <w:sz w:val="24"/>
                <w:szCs w:val="24"/>
                <w:lang w:val="en-US" w:eastAsia="en-US"/>
              </w:rPr>
              <w:t>III</w:t>
            </w:r>
            <w:r>
              <w:rPr>
                <w:bCs/>
                <w:spacing w:val="-4"/>
                <w:sz w:val="24"/>
                <w:szCs w:val="24"/>
                <w:lang w:eastAsia="en-US"/>
              </w:rPr>
              <w:t xml:space="preserve"> «</w:t>
            </w:r>
            <w:r>
              <w:rPr>
                <w:spacing w:val="-4"/>
                <w:sz w:val="24"/>
                <w:szCs w:val="24"/>
                <w:lang w:eastAsia="en-US"/>
              </w:rPr>
              <w:t>Техническое задание»</w:t>
            </w:r>
            <w:r>
              <w:rPr>
                <w:bCs/>
                <w:spacing w:val="-4"/>
                <w:sz w:val="24"/>
                <w:szCs w:val="24"/>
                <w:lang w:eastAsia="en-US"/>
              </w:rPr>
              <w:t xml:space="preserve"> конкурсной документации</w:t>
            </w: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Место выполнения работы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Российская Федерация</w:t>
            </w:r>
          </w:p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Объем работ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условная единица</w:t>
            </w:r>
          </w:p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Сроки начала и окончания работы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Начало работ: дата заключения государственного контракта. </w:t>
            </w:r>
          </w:p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Окончание работ: 280 дней с момента заключения Государственного контракта.</w:t>
            </w:r>
          </w:p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8"/>
                <w:szCs w:val="8"/>
                <w:lang w:eastAsia="en-US"/>
              </w:rPr>
            </w:pP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Начальная (максимальная) цена контракта: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62 900 000 (шестьдесят два миллиона девятьсот  тысяч) рублей 00 коп. </w:t>
            </w:r>
          </w:p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Обоснование начальной (максимальной) цены контракта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pStyle w:val="a"/>
              <w:numPr>
                <w:ilvl w:val="0"/>
                <w:numId w:val="0"/>
              </w:numPr>
              <w:spacing w:after="0" w:line="256" w:lineRule="auto"/>
              <w:contextualSpacing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Приложение к настоящей информационной карте</w:t>
            </w: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Федеральный бюджет, в рамках государственного оборонного заказа</w:t>
            </w: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9F" w:rsidRDefault="008D6E9F">
            <w:pPr>
              <w:tabs>
                <w:tab w:val="right" w:pos="9360"/>
              </w:tabs>
              <w:spacing w:line="256" w:lineRule="auto"/>
              <w:ind w:right="-5"/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Код ОКПД 2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9F" w:rsidRDefault="008D6E9F">
            <w:pPr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72.19.29.190</w:t>
            </w:r>
          </w:p>
          <w:p w:rsidR="008D6E9F" w:rsidRDefault="008D6E9F">
            <w:pPr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3.11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9F" w:rsidRDefault="008D6E9F">
            <w:pPr>
              <w:tabs>
                <w:tab w:val="right" w:pos="9360"/>
              </w:tabs>
              <w:spacing w:line="256" w:lineRule="auto"/>
              <w:ind w:right="-5"/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rStyle w:val="210"/>
                <w:rFonts w:eastAsiaTheme="minorHAnsi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9F" w:rsidRDefault="008D6E9F">
            <w:pPr>
              <w:tabs>
                <w:tab w:val="right" w:pos="9360"/>
              </w:tabs>
              <w:spacing w:line="256" w:lineRule="auto"/>
              <w:ind w:right="-5"/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18803130840392018217</w:t>
            </w:r>
          </w:p>
          <w:p w:rsidR="008D6E9F" w:rsidRDefault="008D6E9F">
            <w:pPr>
              <w:tabs>
                <w:tab w:val="right" w:pos="9360"/>
              </w:tabs>
              <w:spacing w:line="256" w:lineRule="auto"/>
              <w:ind w:right="-5"/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rStyle w:val="210"/>
                <w:rFonts w:eastAsiaTheme="minorHAnsi"/>
                <w:b/>
                <w:sz w:val="24"/>
                <w:szCs w:val="24"/>
              </w:rPr>
              <w:t>Предъявляемые к участникам конкурса требования в соответствии со статьей 31 Федерального закона 44-ФЗ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Style w:val="210"/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Требования, предъявляемые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к участникам открытого конкурса в электронной форме, и исчерпывающий перечень документов, которые должны быть представлены участниками открытого конкурса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в электронной форме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в соответствии с </w:t>
            </w:r>
            <w:hyperlink r:id="rId6" w:history="1">
              <w:r>
                <w:rPr>
                  <w:rStyle w:val="a7"/>
                  <w:rFonts w:eastAsiaTheme="minorHAnsi"/>
                  <w:color w:val="auto"/>
                  <w:sz w:val="24"/>
                  <w:szCs w:val="24"/>
                  <w:u w:val="none"/>
                  <w:lang w:eastAsia="en-US"/>
                </w:rPr>
                <w:t xml:space="preserve"> частью 1 статьи 31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Федерального закона 44-ФЗ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F" w:rsidRDefault="008D6E9F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Единые требования к участникам открытого конкурса в электронной форме:</w:t>
            </w:r>
          </w:p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ind w:firstLine="316"/>
              <w:jc w:val="both"/>
              <w:rPr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Участник открытого конкурса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br/>
              <w:t xml:space="preserve">в электронной форме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br/>
              <w:t xml:space="preserve">в соответствии с </w:t>
            </w:r>
            <w:hyperlink r:id="rId7" w:history="1">
              <w:r>
                <w:rPr>
                  <w:rStyle w:val="a7"/>
                  <w:bCs/>
                  <w:color w:val="000000"/>
                  <w:sz w:val="24"/>
                  <w:szCs w:val="24"/>
                  <w:u w:val="none"/>
                  <w:lang w:eastAsia="en-US"/>
                </w:rPr>
                <w:t>подпунктом 1 пункта 3 статьи 284</w:t>
              </w:r>
            </w:hyperlink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</w:t>
            </w:r>
            <w:proofErr w:type="gram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) не предусматривающих раскрытия и предоставления информации при проведении финансовых операций (офшорные зоны) в отношении юридических лиц </w:t>
            </w:r>
            <w:r>
              <w:rPr>
                <w:bCs/>
                <w:sz w:val="24"/>
                <w:szCs w:val="24"/>
                <w:lang w:eastAsia="en-US"/>
              </w:rPr>
              <w:t>(далее – офшорная компания);</w:t>
            </w:r>
          </w:p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 </w:t>
            </w:r>
            <w:r>
              <w:rPr>
                <w:sz w:val="24"/>
                <w:szCs w:val="24"/>
                <w:lang w:eastAsia="en-US"/>
              </w:rPr>
              <w:t xml:space="preserve">соответствие требованиям, установленным </w:t>
            </w:r>
            <w:r>
              <w:rPr>
                <w:sz w:val="24"/>
                <w:szCs w:val="24"/>
                <w:lang w:eastAsia="en-US"/>
              </w:rPr>
              <w:br/>
              <w:t xml:space="preserve">в соответствии с законодательством Российской Федерации к лицам, осуществляющим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поставку товара, выполнение работы, оказание услуги,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являющихся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объектом закупки;</w:t>
            </w:r>
          </w:p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 </w:t>
            </w:r>
            <w:proofErr w:type="spellStart"/>
            <w:r>
              <w:rPr>
                <w:sz w:val="24"/>
                <w:szCs w:val="24"/>
                <w:lang w:eastAsia="en-US"/>
              </w:rPr>
              <w:t>непроведение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ликвидации участника открытого конкурса в электронной форме – юридического лица и отсутствие решения арбитражного суда о признании участника </w:t>
            </w:r>
            <w:r>
              <w:rPr>
                <w:sz w:val="24"/>
                <w:szCs w:val="24"/>
                <w:lang w:eastAsia="en-US"/>
              </w:rPr>
              <w:lastRenderedPageBreak/>
              <w:t>открытого конкурса в электронной форме – юридического лица несостоятельным (банкротом) и об открытии конкурсного производства;</w:t>
            </w:r>
          </w:p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 </w:t>
            </w:r>
            <w:proofErr w:type="spellStart"/>
            <w:r>
              <w:rPr>
                <w:sz w:val="24"/>
                <w:szCs w:val="24"/>
                <w:lang w:eastAsia="en-US"/>
              </w:rPr>
              <w:t>неприостановление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деятельности участника открытого конкурса в электронной форме </w:t>
            </w:r>
            <w:r>
              <w:rPr>
                <w:sz w:val="24"/>
                <w:szCs w:val="24"/>
                <w:lang w:eastAsia="en-US"/>
              </w:rPr>
              <w:br/>
              <w:t xml:space="preserve">в порядке, установленном </w:t>
            </w:r>
            <w:hyperlink r:id="rId8" w:history="1">
              <w:r>
                <w:rPr>
                  <w:rStyle w:val="a7"/>
                  <w:color w:val="auto"/>
                  <w:sz w:val="24"/>
                  <w:szCs w:val="24"/>
                  <w:u w:val="none"/>
                  <w:lang w:eastAsia="en-US"/>
                </w:rPr>
                <w:t>Кодексом</w:t>
              </w:r>
            </w:hyperlink>
            <w:r>
              <w:rPr>
                <w:sz w:val="24"/>
                <w:szCs w:val="24"/>
                <w:lang w:eastAsia="en-US"/>
              </w:rPr>
              <w:t xml:space="preserve"> Российской Федерации об административных правонарушениях, на дату подачи заявки </w:t>
            </w:r>
            <w:r>
              <w:rPr>
                <w:sz w:val="24"/>
                <w:szCs w:val="24"/>
                <w:lang w:eastAsia="en-US"/>
              </w:rPr>
              <w:br/>
              <w:t xml:space="preserve">на участие в открытом конкурсе </w:t>
            </w:r>
            <w:r>
              <w:rPr>
                <w:sz w:val="24"/>
                <w:szCs w:val="24"/>
                <w:lang w:eastAsia="en-US"/>
              </w:rPr>
              <w:br/>
              <w:t>в электронной форме;</w:t>
            </w:r>
          </w:p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- отсутствие у участника открытого конкурса </w:t>
            </w:r>
            <w:r>
              <w:rPr>
                <w:sz w:val="24"/>
                <w:szCs w:val="24"/>
                <w:lang w:eastAsia="en-US"/>
              </w:rPr>
              <w:br/>
              <w:t xml:space="preserve">в электронной форме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</w:t>
            </w:r>
            <w:r>
              <w:rPr>
                <w:sz w:val="24"/>
                <w:szCs w:val="24"/>
                <w:lang w:eastAsia="en-US"/>
              </w:rPr>
              <w:br/>
              <w:t xml:space="preserve">в соответствии с законодательством Российской Федерации о налогах и сборах, которые реструктурированы в соответствии </w:t>
            </w:r>
            <w:r>
              <w:rPr>
                <w:sz w:val="24"/>
                <w:szCs w:val="24"/>
                <w:lang w:eastAsia="en-US"/>
              </w:rPr>
              <w:br/>
              <w:t>с законодательством Российской Федерации, по которым имеется вступившее в законную силу решение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суда о признании обязанности </w:t>
            </w:r>
            <w:proofErr w:type="gramStart"/>
            <w:r>
              <w:rPr>
                <w:sz w:val="24"/>
                <w:szCs w:val="24"/>
                <w:lang w:eastAsia="en-US"/>
              </w:rPr>
              <w:t>заявителя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уплате этих сумм исполненной или которые признаны безнадежными к взысканию </w:t>
            </w:r>
            <w:r>
              <w:rPr>
                <w:sz w:val="24"/>
                <w:szCs w:val="24"/>
                <w:lang w:eastAsia="en-US"/>
              </w:rPr>
              <w:br/>
              <w:t xml:space="preserve">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открытого конкурса </w:t>
            </w:r>
            <w:r>
              <w:rPr>
                <w:sz w:val="24"/>
                <w:szCs w:val="24"/>
                <w:lang w:eastAsia="en-US"/>
              </w:rPr>
              <w:br/>
              <w:t xml:space="preserve">в электронной форме, по данным бухгалтерской отчетности за последний отчетный период.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Участник закупки считается соответствующим установленному требованию в случае, если им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br/>
              <w:t xml:space="preserve">в установленном порядке подано заявление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br/>
              <w:t xml:space="preserve">об обжаловании </w:t>
            </w:r>
            <w:proofErr w:type="gramStart"/>
            <w:r>
              <w:rPr>
                <w:sz w:val="24"/>
                <w:szCs w:val="24"/>
                <w:shd w:val="clear" w:color="auto" w:fill="FFFFFF"/>
                <w:lang w:eastAsia="en-US"/>
              </w:rPr>
              <w:t>указанных</w:t>
            </w:r>
            <w:proofErr w:type="gramEnd"/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br/>
              <w:t>в определении поставщика (подрядчика, исполнителя) не принято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- отсутствие у участника открытого конкурса в электронной форме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открытого конкурса в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электронной форме судимости за преступления в сфере экономики и (или) преступления, предусмотренные </w:t>
            </w:r>
            <w:hyperlink r:id="rId9" w:history="1">
              <w:r>
                <w:rPr>
                  <w:rStyle w:val="a7"/>
                  <w:color w:val="auto"/>
                  <w:sz w:val="24"/>
                  <w:szCs w:val="24"/>
                  <w:u w:val="none"/>
                  <w:lang w:eastAsia="en-US"/>
                </w:rPr>
                <w:t>статьями 289</w:t>
              </w:r>
            </w:hyperlink>
            <w:r>
              <w:rPr>
                <w:sz w:val="24"/>
                <w:szCs w:val="24"/>
                <w:lang w:eastAsia="en-US"/>
              </w:rPr>
              <w:t xml:space="preserve">, </w:t>
            </w:r>
            <w:hyperlink r:id="rId10" w:history="1">
              <w:r>
                <w:rPr>
                  <w:rStyle w:val="a7"/>
                  <w:color w:val="auto"/>
                  <w:sz w:val="24"/>
                  <w:szCs w:val="24"/>
                  <w:u w:val="none"/>
                  <w:lang w:eastAsia="en-US"/>
                </w:rPr>
                <w:t>290</w:t>
              </w:r>
            </w:hyperlink>
            <w:r>
              <w:rPr>
                <w:sz w:val="24"/>
                <w:szCs w:val="24"/>
                <w:lang w:eastAsia="en-US"/>
              </w:rPr>
              <w:t xml:space="preserve">, </w:t>
            </w:r>
            <w:hyperlink r:id="rId11" w:history="1">
              <w:r>
                <w:rPr>
                  <w:rStyle w:val="a7"/>
                  <w:color w:val="auto"/>
                  <w:sz w:val="24"/>
                  <w:szCs w:val="24"/>
                  <w:u w:val="none"/>
                  <w:lang w:eastAsia="en-US"/>
                </w:rPr>
                <w:t>291</w:t>
              </w:r>
            </w:hyperlink>
            <w:r>
              <w:rPr>
                <w:sz w:val="24"/>
                <w:szCs w:val="24"/>
                <w:lang w:eastAsia="en-US"/>
              </w:rPr>
              <w:t xml:space="preserve">, </w:t>
            </w:r>
            <w:hyperlink r:id="rId12" w:history="1">
              <w:r>
                <w:rPr>
                  <w:rStyle w:val="a7"/>
                  <w:color w:val="auto"/>
                  <w:sz w:val="24"/>
                  <w:szCs w:val="24"/>
                  <w:u w:val="none"/>
                  <w:lang w:eastAsia="en-US"/>
                </w:rPr>
                <w:t>291.1</w:t>
              </w:r>
            </w:hyperlink>
            <w:r>
              <w:rPr>
                <w:sz w:val="24"/>
                <w:szCs w:val="24"/>
                <w:lang w:eastAsia="en-US"/>
              </w:rPr>
              <w:t xml:space="preserve"> Уголовного кодекса Российской Федерации </w:t>
            </w:r>
            <w:r>
              <w:rPr>
                <w:sz w:val="24"/>
                <w:szCs w:val="24"/>
                <w:lang w:eastAsia="en-US"/>
              </w:rPr>
              <w:br/>
              <w:t>(за исключением лиц, у которых такая судимость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погашена или снята), а также неприменение </w:t>
            </w:r>
            <w:r>
              <w:rPr>
                <w:sz w:val="24"/>
                <w:szCs w:val="24"/>
                <w:lang w:eastAsia="en-US"/>
              </w:rPr>
              <w:br/>
              <w:t xml:space="preserve">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</w:t>
            </w:r>
            <w:r>
              <w:rPr>
                <w:sz w:val="24"/>
                <w:szCs w:val="24"/>
                <w:lang w:eastAsia="en-US"/>
              </w:rPr>
              <w:br/>
              <w:t>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 участник открытого конкурса в электронной форме – юридическое лицо, которое в течение двух лет до момента подачи заявки на участие </w:t>
            </w:r>
            <w:r>
              <w:rPr>
                <w:sz w:val="24"/>
                <w:szCs w:val="24"/>
                <w:lang w:eastAsia="en-US"/>
              </w:rPr>
              <w:br/>
              <w:t xml:space="preserve">в открытом конкурсе в электронной форме </w:t>
            </w:r>
            <w:r>
              <w:rPr>
                <w:sz w:val="24"/>
                <w:szCs w:val="24"/>
                <w:lang w:eastAsia="en-US"/>
              </w:rPr>
              <w:br/>
              <w:t xml:space="preserve">не было привлечено к административной ответственности за совершение административного правонарушения, предусмотренного </w:t>
            </w:r>
            <w:hyperlink r:id="rId13" w:history="1">
              <w:r>
                <w:rPr>
                  <w:rStyle w:val="a7"/>
                  <w:color w:val="auto"/>
                  <w:sz w:val="24"/>
                  <w:szCs w:val="24"/>
                  <w:u w:val="none"/>
                  <w:lang w:eastAsia="en-US"/>
                </w:rPr>
                <w:t>статьей 19.28</w:t>
              </w:r>
            </w:hyperlink>
            <w:r>
              <w:rPr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правонарушениях;</w:t>
            </w:r>
          </w:p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 обладание участником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открытого конкурса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br/>
              <w:t xml:space="preserve">в электронной форме </w:t>
            </w:r>
            <w:r>
              <w:rPr>
                <w:sz w:val="24"/>
                <w:szCs w:val="24"/>
                <w:lang w:eastAsia="en-US"/>
              </w:rPr>
              <w:t>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результаты;</w:t>
            </w:r>
          </w:p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- отсутствие между участником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открытого конкурса в электронной форме </w:t>
            </w:r>
            <w:r>
              <w:rPr>
                <w:sz w:val="24"/>
                <w:szCs w:val="24"/>
                <w:lang w:eastAsia="en-US"/>
              </w:rPr>
              <w:t xml:space="preserve">и заказчиком конфликта интересов, под которым понимаются случаи, при которых руководитель заказчика, член конкурсной комиссии состоят в браке </w:t>
            </w:r>
            <w:r>
              <w:rPr>
                <w:sz w:val="24"/>
                <w:szCs w:val="24"/>
                <w:lang w:eastAsia="en-US"/>
              </w:rPr>
              <w:br/>
      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 унитарного  предприятия  либо  иными  органами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управления юридических лиц - участников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открытого конкурса в электронной форме</w:t>
            </w:r>
            <w:r>
              <w:rPr>
                <w:sz w:val="24"/>
                <w:szCs w:val="24"/>
                <w:lang w:eastAsia="en-US"/>
              </w:rPr>
              <w:t xml:space="preserve">, с физическими лицами, в том числе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зарегистрированными в качестве индивидуального предпринимателя, - участниками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открытого конкурса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br/>
              <w:t xml:space="preserve">в электронной форме </w:t>
            </w:r>
            <w:r>
              <w:rPr>
                <w:sz w:val="24"/>
                <w:szCs w:val="24"/>
                <w:lang w:eastAsia="en-US"/>
              </w:rPr>
              <w:t xml:space="preserve">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24"/>
                <w:szCs w:val="24"/>
                <w:lang w:eastAsia="en-US"/>
              </w:rPr>
              <w:t>неполнородными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8D6E9F" w:rsidRDefault="008D6E9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 </w:t>
            </w:r>
            <w:r>
              <w:rPr>
                <w:sz w:val="24"/>
                <w:szCs w:val="24"/>
                <w:lang w:eastAsia="en-US"/>
              </w:rPr>
              <w:t xml:space="preserve">участник </w:t>
            </w:r>
            <w:r>
              <w:rPr>
                <w:bCs/>
                <w:sz w:val="24"/>
                <w:szCs w:val="24"/>
                <w:lang w:eastAsia="en-US"/>
              </w:rPr>
              <w:t xml:space="preserve">открытого конкурса в электронной форме </w:t>
            </w:r>
            <w:r>
              <w:rPr>
                <w:sz w:val="24"/>
                <w:szCs w:val="24"/>
                <w:lang w:eastAsia="en-US"/>
              </w:rPr>
              <w:t>не является офшорной компанией;</w:t>
            </w:r>
          </w:p>
          <w:p w:rsidR="008D6E9F" w:rsidRDefault="008D6E9F">
            <w:pPr>
              <w:spacing w:line="256" w:lineRule="auto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 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8D6E9F" w:rsidRDefault="008D6E9F">
            <w:pPr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Исчерпывающий перечень документов, которые должны быть представлены участником закупки в соответствии с пунктом 1 части 1 статьи 31 Федерального закона </w:t>
            </w:r>
            <w:r>
              <w:rPr>
                <w:sz w:val="24"/>
                <w:szCs w:val="24"/>
                <w:lang w:eastAsia="en-US"/>
              </w:rPr>
              <w:br/>
              <w:t>№ 44-ФЗ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Копия действующей лицензии ФСТЭК России 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деятельность по разработке и производству средств защиты конфиденциальной информации в части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разработки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защищенных программных (программно-технических) средств обработки информации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F" w:rsidRDefault="008D6E9F">
            <w:pPr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Предъявляемое к участникам конкурса требование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br/>
              <w:t xml:space="preserve">в соответствии с частью 1.1 статьи 31 Федерального закона 44-ФЗ </w:t>
            </w:r>
          </w:p>
          <w:p w:rsidR="008D6E9F" w:rsidRDefault="008D6E9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F" w:rsidRDefault="008D6E9F">
            <w:pPr>
              <w:pStyle w:val="1"/>
              <w:spacing w:before="0" w:after="0" w:line="25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  <w:t xml:space="preserve">Отсутствие в предусмотренном Федеральным законом 44-ФЗ реестре недобросовестных поставщиков (подрядчиков, исполнителей) информации об участнике открытого конкурса </w:t>
            </w:r>
            <w: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  <w:br/>
              <w:t xml:space="preserve">в электронной форме,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открытого конкурса </w:t>
            </w:r>
            <w: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  <w:br/>
              <w:t>в электронной форме – юридического лица</w:t>
            </w:r>
          </w:p>
          <w:p w:rsidR="008D6E9F" w:rsidRDefault="008D6E9F">
            <w:pPr>
              <w:spacing w:line="256" w:lineRule="auto"/>
              <w:rPr>
                <w:lang w:eastAsia="en-US"/>
              </w:rPr>
            </w:pP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210"/>
                <w:rFonts w:eastAsiaTheme="minorHAnsi"/>
                <w:sz w:val="24"/>
                <w:szCs w:val="24"/>
              </w:rPr>
              <w:t xml:space="preserve">Предъявляемые к участникам конкурса требования </w:t>
            </w:r>
            <w:r>
              <w:rPr>
                <w:rStyle w:val="210"/>
                <w:rFonts w:eastAsiaTheme="minorHAnsi"/>
                <w:sz w:val="24"/>
                <w:szCs w:val="24"/>
              </w:rPr>
              <w:br/>
              <w:t xml:space="preserve">в соответствии с частью 2 статьи 31 Федерального закона 44-ФЗ (дополнительные требования, </w:t>
            </w:r>
            <w:r>
              <w:rPr>
                <w:rStyle w:val="210"/>
                <w:rFonts w:eastAsiaTheme="minorHAnsi"/>
                <w:sz w:val="24"/>
                <w:szCs w:val="24"/>
              </w:rPr>
              <w:br/>
            </w:r>
            <w:r>
              <w:rPr>
                <w:rStyle w:val="210"/>
                <w:rFonts w:eastAsiaTheme="minorHAnsi"/>
                <w:sz w:val="24"/>
                <w:szCs w:val="24"/>
              </w:rPr>
              <w:lastRenderedPageBreak/>
              <w:t>в том числе к наличию:</w:t>
            </w:r>
            <w:proofErr w:type="gramEnd"/>
          </w:p>
          <w:p w:rsidR="008D6E9F" w:rsidRDefault="008D6E9F" w:rsidP="008D6E9F">
            <w:pPr>
              <w:widowControl w:val="0"/>
              <w:numPr>
                <w:ilvl w:val="0"/>
                <w:numId w:val="5"/>
              </w:numPr>
              <w:tabs>
                <w:tab w:val="left" w:pos="221"/>
              </w:tabs>
              <w:spacing w:line="25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210"/>
                <w:rFonts w:eastAsiaTheme="minorHAnsi"/>
                <w:sz w:val="24"/>
                <w:szCs w:val="24"/>
              </w:rPr>
              <w:t>финансовых ресурсов для исполнения контракта;</w:t>
            </w:r>
          </w:p>
          <w:p w:rsidR="008D6E9F" w:rsidRDefault="008D6E9F" w:rsidP="008D6E9F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spacing w:line="25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0"/>
                <w:rFonts w:eastAsiaTheme="minorHAnsi"/>
              </w:rPr>
              <w:t xml:space="preserve">на праве собственности или ином законном основании оборудования </w:t>
            </w:r>
            <w:r>
              <w:rPr>
                <w:rStyle w:val="210"/>
                <w:rFonts w:eastAsiaTheme="minorHAnsi"/>
              </w:rPr>
              <w:br/>
              <w:t xml:space="preserve">и других материальных ресурсов </w:t>
            </w:r>
            <w:r>
              <w:rPr>
                <w:rStyle w:val="210"/>
                <w:rFonts w:eastAsiaTheme="minorHAnsi"/>
              </w:rPr>
              <w:br/>
              <w:t>для исполнения контракта;</w:t>
            </w:r>
          </w:p>
          <w:p w:rsidR="008D6E9F" w:rsidRDefault="008D6E9F" w:rsidP="008D6E9F">
            <w:pPr>
              <w:widowControl w:val="0"/>
              <w:numPr>
                <w:ilvl w:val="0"/>
                <w:numId w:val="6"/>
              </w:numPr>
              <w:tabs>
                <w:tab w:val="left" w:pos="216"/>
              </w:tabs>
              <w:spacing w:line="25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210"/>
                <w:rFonts w:eastAsiaTheme="minorHAnsi"/>
                <w:sz w:val="24"/>
                <w:szCs w:val="24"/>
              </w:rPr>
              <w:t xml:space="preserve">опыта работы, связанного </w:t>
            </w:r>
            <w:r>
              <w:rPr>
                <w:rStyle w:val="210"/>
                <w:rFonts w:eastAsiaTheme="minorHAnsi"/>
                <w:sz w:val="24"/>
                <w:szCs w:val="24"/>
              </w:rPr>
              <w:br/>
              <w:t>с предметом контракта, и деловой репутации;</w:t>
            </w:r>
          </w:p>
          <w:p w:rsidR="008D6E9F" w:rsidRDefault="008D6E9F" w:rsidP="008D6E9F">
            <w:pPr>
              <w:widowControl w:val="0"/>
              <w:numPr>
                <w:ilvl w:val="0"/>
                <w:numId w:val="6"/>
              </w:numPr>
              <w:tabs>
                <w:tab w:val="left" w:pos="216"/>
              </w:tabs>
              <w:spacing w:line="25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210"/>
                <w:rFonts w:eastAsiaTheme="minorHAnsi"/>
                <w:sz w:val="24"/>
                <w:szCs w:val="24"/>
              </w:rPr>
              <w:t>необходимого количества специалистов и иных работников определенного уровня квалификации для исполнения контракта)</w:t>
            </w:r>
          </w:p>
          <w:p w:rsidR="008D6E9F" w:rsidRDefault="008D6E9F" w:rsidP="008D6E9F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Style w:val="210"/>
                <w:rFonts w:eastAsiaTheme="minorHAnsi"/>
              </w:rPr>
              <w:t>и исчерпывающий перечень документов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rStyle w:val="210"/>
                <w:rFonts w:eastAsiaTheme="minorHAnsi"/>
                <w:sz w:val="24"/>
                <w:szCs w:val="24"/>
              </w:rPr>
              <w:lastRenderedPageBreak/>
              <w:t>Требования не установлены</w:t>
            </w: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Ограничение участия в определении исполнителя, установленное в соответствии </w:t>
            </w:r>
            <w:r>
              <w:rPr>
                <w:bCs/>
                <w:sz w:val="24"/>
                <w:szCs w:val="24"/>
                <w:lang w:eastAsia="en-US"/>
              </w:rPr>
              <w:br/>
              <w:t xml:space="preserve">с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Федеральным законом 44-ФЗ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соответствии с требованиями конкурсной документации</w:t>
            </w: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Требования к участникам открытого конкурса в электронной форме в соответствии с пунктом 3 статьи 3 Федерального закона      от </w:t>
            </w:r>
            <w:r>
              <w:rPr>
                <w:bCs/>
                <w:color w:val="000000"/>
                <w:spacing w:val="-8"/>
                <w:sz w:val="24"/>
                <w:szCs w:val="24"/>
                <w:lang w:eastAsia="en-US"/>
              </w:rPr>
              <w:t xml:space="preserve">29.12.2012 № 275-ФЗ </w:t>
            </w:r>
            <w:r>
              <w:rPr>
                <w:bCs/>
                <w:color w:val="000000"/>
                <w:spacing w:val="-8"/>
                <w:sz w:val="24"/>
                <w:szCs w:val="24"/>
                <w:lang w:eastAsia="en-US"/>
              </w:rPr>
              <w:br/>
              <w:t>«О государственном</w:t>
            </w:r>
            <w:r>
              <w:rPr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 оборонном заказе»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Участником открытого конкурса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br/>
              <w:t xml:space="preserve">в электронной форме по государственному оборонному заказу может быть только юридическое лицо, созданное в соответствии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br/>
              <w:t>с законодательством Российской Федерации</w:t>
            </w: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10"/>
                <w:rFonts w:eastAsiaTheme="minorHAnsi"/>
                <w:sz w:val="24"/>
                <w:szCs w:val="24"/>
              </w:rPr>
              <w:t xml:space="preserve">Адрес электронной площадки </w:t>
            </w:r>
            <w:r>
              <w:rPr>
                <w:rStyle w:val="210"/>
                <w:rFonts w:eastAsiaTheme="minorHAnsi"/>
                <w:sz w:val="24"/>
                <w:szCs w:val="24"/>
              </w:rPr>
              <w:br/>
              <w:t>в информационно-телекоммуникационной сети «Интернет»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http://</w:t>
            </w:r>
            <w:hyperlink r:id="rId14" w:history="1">
              <w:proofErr w:type="spellStart"/>
              <w:r>
                <w:rPr>
                  <w:rStyle w:val="a7"/>
                  <w:color w:val="auto"/>
                  <w:sz w:val="24"/>
                  <w:szCs w:val="24"/>
                  <w:u w:val="none"/>
                  <w:lang w:val="en-US" w:eastAsia="en-US"/>
                </w:rPr>
                <w:t>rts</w:t>
              </w:r>
              <w:proofErr w:type="spellEnd"/>
              <w:r>
                <w:rPr>
                  <w:rStyle w:val="a7"/>
                  <w:color w:val="auto"/>
                  <w:sz w:val="24"/>
                  <w:szCs w:val="24"/>
                  <w:u w:val="none"/>
                  <w:lang w:eastAsia="en-US"/>
                </w:rPr>
                <w:t>-</w:t>
              </w:r>
              <w:r>
                <w:rPr>
                  <w:rStyle w:val="a7"/>
                  <w:color w:val="auto"/>
                  <w:sz w:val="24"/>
                  <w:szCs w:val="24"/>
                  <w:u w:val="none"/>
                  <w:lang w:val="en-US" w:eastAsia="en-US"/>
                </w:rPr>
                <w:t>tender</w:t>
              </w:r>
              <w:r>
                <w:rPr>
                  <w:rStyle w:val="a7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proofErr w:type="spellStart"/>
              <w:r>
                <w:rPr>
                  <w:rStyle w:val="a7"/>
                  <w:color w:val="auto"/>
                  <w:sz w:val="24"/>
                  <w:szCs w:val="24"/>
                  <w:u w:val="none"/>
                  <w:lang w:eastAsia="en-US"/>
                </w:rPr>
                <w:t>ru</w:t>
              </w:r>
              <w:proofErr w:type="spellEnd"/>
            </w:hyperlink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rStyle w:val="210"/>
                <w:rFonts w:eastAsiaTheme="minorHAnsi"/>
                <w:sz w:val="24"/>
                <w:szCs w:val="24"/>
              </w:rPr>
              <w:t>Размер и порядок внесения денежных сре</w:t>
            </w:r>
            <w:proofErr w:type="gramStart"/>
            <w:r>
              <w:rPr>
                <w:rStyle w:val="210"/>
                <w:rFonts w:eastAsiaTheme="minorHAnsi"/>
                <w:sz w:val="24"/>
                <w:szCs w:val="24"/>
              </w:rPr>
              <w:t>дств в к</w:t>
            </w:r>
            <w:proofErr w:type="gramEnd"/>
            <w:r>
              <w:rPr>
                <w:rStyle w:val="210"/>
                <w:rFonts w:eastAsiaTheme="minorHAnsi"/>
                <w:sz w:val="24"/>
                <w:szCs w:val="24"/>
              </w:rPr>
              <w:t xml:space="preserve">ачестве обеспечения заявок на участие в открытом конкурсе в электронной форме, </w:t>
            </w:r>
            <w: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 w:bidi="ru-RU"/>
              </w:rPr>
              <w:t xml:space="preserve">а также условия банковской гарантии 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F" w:rsidRDefault="008D6E9F">
            <w:pPr>
              <w:spacing w:line="256" w:lineRule="auto"/>
              <w:ind w:right="86"/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5 % от начальной (максимальной) цены контракта.</w:t>
            </w:r>
          </w:p>
          <w:p w:rsidR="008D6E9F" w:rsidRDefault="008D6E9F">
            <w:pPr>
              <w:spacing w:line="256" w:lineRule="auto"/>
              <w:ind w:right="86"/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 соответствии с частью 10 статьи 44 Федерального закона 44-ФЗ (пункт 2.14 раздела </w:t>
            </w:r>
            <w:r>
              <w:rPr>
                <w:bCs/>
                <w:sz w:val="24"/>
                <w:szCs w:val="24"/>
                <w:lang w:val="en-US" w:eastAsia="en-US"/>
              </w:rPr>
              <w:t>I</w:t>
            </w:r>
            <w:r>
              <w:rPr>
                <w:bCs/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>Общие условия проведения открытого конкурса в электронной форме»</w:t>
            </w:r>
            <w:r>
              <w:rPr>
                <w:bCs/>
                <w:sz w:val="24"/>
                <w:szCs w:val="24"/>
                <w:lang w:eastAsia="en-US"/>
              </w:rPr>
              <w:t xml:space="preserve"> конкурсной документации)</w:t>
            </w:r>
          </w:p>
          <w:p w:rsidR="008D6E9F" w:rsidRDefault="008D6E9F">
            <w:pPr>
              <w:spacing w:line="256" w:lineRule="auto"/>
              <w:ind w:right="86"/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Размер </w:t>
            </w:r>
            <w:r>
              <w:rPr>
                <w:rStyle w:val="210"/>
                <w:rFonts w:eastAsiaTheme="minorHAnsi"/>
                <w:sz w:val="24"/>
                <w:szCs w:val="24"/>
              </w:rPr>
              <w:t>и порядок внесения денежных сре</w:t>
            </w:r>
            <w:proofErr w:type="gramStart"/>
            <w:r>
              <w:rPr>
                <w:rStyle w:val="210"/>
                <w:rFonts w:eastAsiaTheme="minorHAnsi"/>
                <w:sz w:val="24"/>
                <w:szCs w:val="24"/>
              </w:rPr>
              <w:t>дств в к</w:t>
            </w:r>
            <w:proofErr w:type="gramEnd"/>
            <w:r>
              <w:rPr>
                <w:rStyle w:val="210"/>
                <w:rFonts w:eastAsiaTheme="minorHAnsi"/>
                <w:sz w:val="24"/>
                <w:szCs w:val="24"/>
              </w:rPr>
              <w:t xml:space="preserve">ачестве </w:t>
            </w:r>
            <w:r>
              <w:rPr>
                <w:bCs/>
                <w:sz w:val="24"/>
                <w:szCs w:val="24"/>
                <w:lang w:eastAsia="en-US"/>
              </w:rPr>
              <w:t>обеспечения исполнения контракта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10 % начальной (максимальной) цены контракта.</w:t>
            </w:r>
          </w:p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Style w:val="210"/>
                <w:rFonts w:eastAsiaTheme="minorHAnsi"/>
                <w:sz w:val="24"/>
                <w:szCs w:val="24"/>
              </w:rPr>
            </w:pPr>
            <w:r>
              <w:rPr>
                <w:rStyle w:val="210"/>
                <w:rFonts w:eastAsiaTheme="minorHAnsi"/>
                <w:sz w:val="24"/>
                <w:szCs w:val="24"/>
              </w:rPr>
              <w:t xml:space="preserve">Порядок предоставления обеспечения контракта и требования к нему указаны в пункте 2.15 </w:t>
            </w:r>
            <w:r>
              <w:rPr>
                <w:bCs/>
                <w:sz w:val="24"/>
                <w:szCs w:val="24"/>
                <w:lang w:eastAsia="en-US"/>
              </w:rPr>
              <w:t xml:space="preserve">раздела </w:t>
            </w:r>
            <w:r>
              <w:rPr>
                <w:bCs/>
                <w:sz w:val="24"/>
                <w:szCs w:val="24"/>
                <w:lang w:val="en-US" w:eastAsia="en-US"/>
              </w:rPr>
              <w:t>I</w:t>
            </w:r>
            <w:r>
              <w:rPr>
                <w:bCs/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>Общие условия проведения открытого конкурса в электронной форме»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210"/>
                <w:rFonts w:eastAsiaTheme="minorHAnsi"/>
                <w:sz w:val="24"/>
                <w:szCs w:val="24"/>
              </w:rPr>
              <w:t>конкурсной документации</w:t>
            </w:r>
          </w:p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Требование к обеспечению гарантийных обязательств в соответствии с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частью 4 статьи 33 </w:t>
            </w:r>
            <w:r>
              <w:rPr>
                <w:bCs/>
                <w:sz w:val="24"/>
                <w:szCs w:val="24"/>
                <w:lang w:eastAsia="en-US"/>
              </w:rPr>
              <w:t>Федерального закона 44-ФЗ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Гарантийные обязательства могут обеспечиваться предоставлением банковской гарантии, выданной банком и соответствующей требованиям статьи 45 Федерального закона </w:t>
            </w:r>
            <w:r>
              <w:rPr>
                <w:bCs/>
                <w:sz w:val="24"/>
                <w:szCs w:val="24"/>
                <w:lang w:eastAsia="en-US"/>
              </w:rPr>
              <w:br/>
              <w:t xml:space="preserve">44-ФЗ, или внесением денежных средств </w:t>
            </w:r>
            <w:r>
              <w:rPr>
                <w:bCs/>
                <w:sz w:val="24"/>
                <w:szCs w:val="24"/>
                <w:lang w:eastAsia="en-US"/>
              </w:rPr>
              <w:br/>
              <w:t xml:space="preserve">на указанный Заказчиком счет, на котором </w:t>
            </w:r>
            <w:r>
              <w:rPr>
                <w:bCs/>
                <w:sz w:val="24"/>
                <w:szCs w:val="24"/>
                <w:lang w:eastAsia="en-US"/>
              </w:rPr>
              <w:br/>
              <w:t xml:space="preserve">в соответствии с законодательством Российской Федерации учитываются операции </w:t>
            </w:r>
            <w:r>
              <w:rPr>
                <w:bCs/>
                <w:sz w:val="24"/>
                <w:szCs w:val="24"/>
                <w:lang w:eastAsia="en-US"/>
              </w:rPr>
              <w:br/>
              <w:t>со средствами, поступающими Заказчику. Способ обеспечения гарантийных обязательств, срок действия банковской гарантии определяются в соответствии с требованиями Федерального закона 44-ФЗ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Федерального закона 44-ФЗ.</w:t>
            </w:r>
          </w:p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rStyle w:val="210"/>
                <w:rFonts w:eastAsia="Calibri"/>
                <w:sz w:val="24"/>
                <w:szCs w:val="24"/>
              </w:rPr>
              <w:t>Размер обеспечения гарантийных обязательств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rStyle w:val="210"/>
                <w:rFonts w:eastAsia="Calibri"/>
                <w:sz w:val="24"/>
                <w:szCs w:val="24"/>
              </w:rPr>
              <w:t>10 % начальной (максимальной) цены контракта</w:t>
            </w: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0"/>
                <w:sz w:val="24"/>
                <w:szCs w:val="23"/>
                <w:shd w:val="clear" w:color="auto" w:fill="FFFFFF"/>
                <w:lang w:eastAsia="en-US" w:bidi="ru-RU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Размер аванса, устанавливаемый в соответствии с законодательством Российской Федерации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>о контрактной системе в сфере закупок (если предусмотрена выплата аванса)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 w:bidi="ru-RU"/>
              </w:rPr>
            </w:pPr>
            <w:r>
              <w:rPr>
                <w:sz w:val="24"/>
                <w:szCs w:val="24"/>
                <w:lang w:eastAsia="en-US"/>
              </w:rPr>
              <w:t xml:space="preserve">10 % цены этапа </w:t>
            </w:r>
            <w:proofErr w:type="gramStart"/>
            <w:r>
              <w:rPr>
                <w:sz w:val="24"/>
                <w:szCs w:val="24"/>
                <w:lang w:eastAsia="en-US"/>
              </w:rPr>
              <w:t>ОКР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текущего финансового года, начиная с этапа № 2</w:t>
            </w:r>
            <w:r>
              <w:rPr>
                <w:lang w:eastAsia="en-US"/>
              </w:rPr>
              <w:t>.</w:t>
            </w: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 xml:space="preserve">Информация о валюте, используемой для формирования цены контракта </w:t>
            </w:r>
            <w:r>
              <w:rPr>
                <w:spacing w:val="-8"/>
                <w:sz w:val="24"/>
                <w:szCs w:val="24"/>
                <w:lang w:eastAsia="en-US"/>
              </w:rPr>
              <w:br/>
              <w:t>и расчетов с поставщиком (подрядчиком, исполнителем)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Российский рубль</w:t>
            </w: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Style w:val="210"/>
                <w:rFonts w:eastAsiaTheme="minorHAnsi"/>
                <w:sz w:val="24"/>
                <w:szCs w:val="24"/>
              </w:rPr>
            </w:pPr>
            <w:r>
              <w:rPr>
                <w:rStyle w:val="210"/>
                <w:rFonts w:eastAsiaTheme="minorHAnsi"/>
                <w:sz w:val="24"/>
                <w:szCs w:val="24"/>
              </w:rPr>
              <w:t>Условия банковской гарантии (если такой способ обеспечения заявок применим в соответствии с Федеральным законом 44-ФЗ)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Style w:val="210"/>
                <w:rFonts w:eastAsiaTheme="minorHAnsi"/>
                <w:sz w:val="24"/>
                <w:szCs w:val="24"/>
              </w:rPr>
              <w:t xml:space="preserve">Условия банковской гарантии указаны </w:t>
            </w:r>
            <w:r>
              <w:rPr>
                <w:rStyle w:val="210"/>
                <w:rFonts w:eastAsiaTheme="minorHAnsi"/>
                <w:sz w:val="24"/>
                <w:szCs w:val="24"/>
              </w:rPr>
              <w:br/>
              <w:t>в пункте</w:t>
            </w:r>
            <w:r>
              <w:rPr>
                <w:bCs/>
                <w:sz w:val="24"/>
                <w:szCs w:val="24"/>
                <w:lang w:eastAsia="en-US"/>
              </w:rPr>
              <w:t xml:space="preserve"> 2.16 раздела </w:t>
            </w:r>
            <w:r>
              <w:rPr>
                <w:bCs/>
                <w:sz w:val="24"/>
                <w:szCs w:val="24"/>
                <w:lang w:val="en-US" w:eastAsia="en-US"/>
              </w:rPr>
              <w:t>I</w:t>
            </w:r>
            <w:r>
              <w:rPr>
                <w:bCs/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>Общие условия проведения открытого конкурса в электронной форме»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210"/>
                <w:rFonts w:eastAsiaTheme="minorHAnsi"/>
                <w:sz w:val="24"/>
                <w:szCs w:val="24"/>
              </w:rPr>
              <w:t>конкурсной документации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9F" w:rsidRDefault="008D6E9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Информация о банковском сопровождении контракта </w:t>
            </w:r>
            <w:r>
              <w:rPr>
                <w:sz w:val="24"/>
                <w:szCs w:val="24"/>
                <w:lang w:eastAsia="en-US"/>
              </w:rPr>
              <w:br/>
              <w:t>в соответствии со статьей 35 Федерального закона 44-ФЗ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rStyle w:val="210"/>
                <w:rFonts w:eastAsiaTheme="minorHAnsi"/>
                <w:sz w:val="24"/>
                <w:szCs w:val="24"/>
              </w:rPr>
              <w:t>Порядок не установлен</w:t>
            </w: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Информация о казначейском сопровождении контракта </w:t>
            </w:r>
            <w:r>
              <w:rPr>
                <w:sz w:val="24"/>
                <w:szCs w:val="24"/>
                <w:lang w:eastAsia="en-US"/>
              </w:rPr>
              <w:br/>
              <w:t xml:space="preserve">в соответствии с постановлением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Правительства Российской Федерации от 21 декабря 2020 г. </w:t>
            </w:r>
            <w:r>
              <w:rPr>
                <w:sz w:val="24"/>
                <w:szCs w:val="24"/>
                <w:lang w:eastAsia="en-US"/>
              </w:rPr>
              <w:br/>
              <w:t>№ 2190-80 «О государственном оборонном заказе на 2021 год и на плановый период 2022 и 2023 годов»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9F" w:rsidRDefault="008D6E9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Установлено казначейское сопровождение контракта.</w:t>
            </w:r>
          </w:p>
          <w:p w:rsidR="008D6E9F" w:rsidRDefault="008D6E9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Учитывая необходимость указания </w:t>
            </w: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в государственном контракте реквизитов лицевого счета, открытого органами Федерального казначейства для операций </w:t>
            </w:r>
            <w:r>
              <w:rPr>
                <w:sz w:val="24"/>
                <w:szCs w:val="24"/>
                <w:lang w:eastAsia="en-US"/>
              </w:rPr>
              <w:br/>
              <w:t xml:space="preserve">со средствами государственного оборонного заказа, Головному исполнителю необходимо осуществить операции по «резервированию» номера лицевого счета в соответствии </w:t>
            </w:r>
            <w:r>
              <w:rPr>
                <w:sz w:val="24"/>
                <w:szCs w:val="24"/>
                <w:lang w:eastAsia="en-US"/>
              </w:rPr>
              <w:br/>
              <w:t xml:space="preserve">с письмом Федерального казначейства </w:t>
            </w:r>
            <w:r>
              <w:rPr>
                <w:sz w:val="24"/>
                <w:szCs w:val="24"/>
                <w:lang w:eastAsia="en-US"/>
              </w:rPr>
              <w:br/>
              <w:t>от 20 марта 2018 г. № 07-04-05/05-4551</w:t>
            </w: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9F" w:rsidRDefault="008D6E9F">
            <w:pPr>
              <w:tabs>
                <w:tab w:val="right" w:pos="9360"/>
              </w:tabs>
              <w:spacing w:line="256" w:lineRule="auto"/>
              <w:ind w:right="-5"/>
              <w:contextualSpacing/>
              <w:jc w:val="both"/>
              <w:rPr>
                <w:rStyle w:val="210"/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Возможность изменения количества поставляемых товаров в соответствии с частью 18 статьи 34 Федерального закона 44-ФЗ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предусмотрена</w:t>
            </w: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Условия, запреты, ограничения допуска работ, выполняемых иностранными лицами </w:t>
            </w:r>
            <w:r>
              <w:rPr>
                <w:color w:val="000000"/>
                <w:sz w:val="23"/>
                <w:szCs w:val="23"/>
                <w:lang w:eastAsia="en-US"/>
              </w:rPr>
              <w:br/>
              <w:t>в соответствии со статьей 14 Федерального закона 44-ФЗ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spacing w:line="25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sz w:val="24"/>
                <w:szCs w:val="24"/>
                <w:lang w:eastAsia="en-US"/>
              </w:rPr>
              <w:t>установлены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15.1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Документы, подтверждающие соответствие участника открытого конкурса в электронной форме и (или) предлагаемой им </w:t>
            </w:r>
            <w:r>
              <w:rPr>
                <w:sz w:val="24"/>
                <w:szCs w:val="24"/>
                <w:lang w:eastAsia="en-US"/>
              </w:rPr>
              <w:t>работы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условиям, запретам и ограничениям допуска работ, происходящих из иностранного государства или группы иностранных государств, установленным в соответствии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 xml:space="preserve">со статьей 14 Федерального закона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>44-ФЗ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требуются</w:t>
            </w:r>
          </w:p>
        </w:tc>
      </w:tr>
      <w:tr w:rsidR="008D6E9F" w:rsidTr="008D6E9F">
        <w:trPr>
          <w:trHeight w:val="1049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4"/>
                <w:szCs w:val="23"/>
                <w:lang w:eastAsia="en-US"/>
              </w:rPr>
              <w:t xml:space="preserve">Условия, запреты, ограничения допуска работ, выполняемых иностранными лицами </w:t>
            </w:r>
            <w:r>
              <w:rPr>
                <w:color w:val="000000"/>
                <w:sz w:val="24"/>
                <w:szCs w:val="23"/>
                <w:lang w:eastAsia="en-US"/>
              </w:rPr>
              <w:br/>
              <w:t xml:space="preserve">в соответствии </w:t>
            </w:r>
            <w:proofErr w:type="gramStart"/>
            <w:r>
              <w:rPr>
                <w:color w:val="000000"/>
                <w:sz w:val="24"/>
                <w:szCs w:val="23"/>
                <w:lang w:eastAsia="en-US"/>
              </w:rPr>
              <w:t>с</w:t>
            </w:r>
            <w:proofErr w:type="gramEnd"/>
            <w:r>
              <w:rPr>
                <w:color w:val="000000"/>
                <w:sz w:val="24"/>
                <w:szCs w:val="23"/>
                <w:lang w:eastAsia="en-US"/>
              </w:rPr>
              <w:t>: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F" w:rsidRDefault="008D6E9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D6E9F" w:rsidTr="008D6E9F">
        <w:trPr>
          <w:trHeight w:val="261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16.1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Постановлением Правительства Российской Федерации от 16.11.2015 № 1236 </w:t>
            </w:r>
            <w:r>
              <w:rPr>
                <w:color w:val="000000"/>
                <w:sz w:val="23"/>
                <w:szCs w:val="23"/>
                <w:lang w:eastAsia="en-US"/>
              </w:rPr>
              <w:br/>
              <w:t>«Об установлении запрета на 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sz w:val="24"/>
                <w:szCs w:val="24"/>
                <w:lang w:eastAsia="en-US"/>
              </w:rPr>
              <w:t>установлены</w:t>
            </w:r>
            <w:proofErr w:type="gramEnd"/>
          </w:p>
        </w:tc>
      </w:tr>
      <w:tr w:rsidR="008D6E9F" w:rsidTr="008D6E9F">
        <w:trPr>
          <w:trHeight w:val="269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16.2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Приказом Министерства финансов Российской Федерации </w:t>
            </w:r>
            <w:r>
              <w:rPr>
                <w:color w:val="000000"/>
                <w:sz w:val="23"/>
                <w:szCs w:val="23"/>
                <w:lang w:eastAsia="en-US"/>
              </w:rPr>
              <w:br/>
              <w:t>от 04.06.2018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sz w:val="24"/>
                <w:szCs w:val="24"/>
                <w:lang w:eastAsia="en-US"/>
              </w:rPr>
              <w:t>установлены</w:t>
            </w:r>
            <w:proofErr w:type="gramEnd"/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16.3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  <w:proofErr w:type="gramStart"/>
            <w:r>
              <w:rPr>
                <w:color w:val="000000"/>
                <w:sz w:val="23"/>
                <w:szCs w:val="23"/>
                <w:lang w:eastAsia="en-US"/>
              </w:rPr>
              <w:t xml:space="preserve">Постановлением Правительства Российской Федерации от 10 июля 2019г.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  нужд,  о  внесении изменений в постановление Правительства Российской Федерации </w:t>
            </w:r>
            <w:r>
              <w:rPr>
                <w:color w:val="000000"/>
                <w:sz w:val="23"/>
                <w:szCs w:val="23"/>
                <w:lang w:eastAsia="en-US"/>
              </w:rPr>
              <w:br/>
              <w:t xml:space="preserve">от 16 сентября 2016 г. № 925 </w:t>
            </w:r>
            <w:r>
              <w:rPr>
                <w:color w:val="000000"/>
                <w:sz w:val="23"/>
                <w:szCs w:val="23"/>
                <w:lang w:eastAsia="en-US"/>
              </w:rPr>
              <w:br/>
              <w:t>и признании утратившими силу некоторых актов Правительства Российской Федерации»</w:t>
            </w:r>
            <w:proofErr w:type="gramEnd"/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sz w:val="24"/>
                <w:szCs w:val="24"/>
                <w:lang w:eastAsia="en-US"/>
              </w:rPr>
              <w:t>установлены</w:t>
            </w:r>
            <w:proofErr w:type="gramEnd"/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Преимущества, предоставляемые определенным категориям участников конкурса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17.1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spacing w:val="-4"/>
                <w:sz w:val="23"/>
                <w:szCs w:val="23"/>
                <w:lang w:eastAsia="en-US"/>
              </w:rPr>
            </w:pPr>
            <w:r>
              <w:rPr>
                <w:rStyle w:val="210"/>
                <w:rFonts w:eastAsiaTheme="minorHAnsi"/>
                <w:spacing w:val="-4"/>
                <w:sz w:val="23"/>
                <w:szCs w:val="23"/>
              </w:rPr>
              <w:t xml:space="preserve">Преимущества, предоставляемые заказчиком в соответствии со статьями 28 и 29 </w:t>
            </w:r>
            <w:r>
              <w:rPr>
                <w:rFonts w:eastAsiaTheme="minorHAnsi"/>
                <w:color w:val="000000"/>
                <w:spacing w:val="-4"/>
                <w:sz w:val="23"/>
                <w:szCs w:val="23"/>
                <w:shd w:val="clear" w:color="auto" w:fill="FFFFFF"/>
                <w:lang w:eastAsia="en-US" w:bidi="ru-RU"/>
              </w:rPr>
              <w:t>Федерального закона 44-ФЗ</w:t>
            </w:r>
            <w:r>
              <w:rPr>
                <w:rStyle w:val="210"/>
                <w:rFonts w:eastAsiaTheme="minorHAnsi"/>
                <w:spacing w:val="-4"/>
                <w:sz w:val="23"/>
                <w:szCs w:val="23"/>
              </w:rPr>
              <w:t>; документы, подтверждающие право участника открытого конкурса в электронной форме на получение указанных преимуществ, или копии этих документов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F" w:rsidRDefault="008D6E9F">
            <w:pPr>
              <w:spacing w:line="256" w:lineRule="auto"/>
              <w:ind w:right="116"/>
              <w:contextualSpacing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 предоставляются</w:t>
            </w:r>
          </w:p>
          <w:p w:rsidR="008D6E9F" w:rsidRDefault="008D6E9F">
            <w:pPr>
              <w:spacing w:line="256" w:lineRule="auto"/>
              <w:ind w:left="131" w:right="116"/>
              <w:contextualSpacing/>
              <w:rPr>
                <w:sz w:val="23"/>
                <w:szCs w:val="23"/>
                <w:lang w:eastAsia="en-US"/>
              </w:rPr>
            </w:pPr>
          </w:p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17.2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pacing w:val="-10"/>
                <w:sz w:val="23"/>
                <w:szCs w:val="23"/>
                <w:lang w:eastAsia="en-US"/>
              </w:rPr>
            </w:pPr>
            <w:r>
              <w:rPr>
                <w:rStyle w:val="210"/>
                <w:rFonts w:eastAsiaTheme="minorHAnsi"/>
                <w:spacing w:val="-10"/>
                <w:sz w:val="23"/>
                <w:szCs w:val="23"/>
              </w:rPr>
              <w:t xml:space="preserve">Преимущества, предоставляемые </w:t>
            </w:r>
            <w:r>
              <w:rPr>
                <w:rStyle w:val="210"/>
                <w:rFonts w:eastAsiaTheme="minorHAnsi"/>
                <w:spacing w:val="-14"/>
                <w:sz w:val="23"/>
                <w:szCs w:val="23"/>
              </w:rPr>
              <w:t>субъектам малого предпринимательства</w:t>
            </w:r>
            <w:r>
              <w:rPr>
                <w:rStyle w:val="210"/>
                <w:rFonts w:eastAsiaTheme="minorHAnsi"/>
                <w:spacing w:val="-10"/>
                <w:sz w:val="23"/>
                <w:szCs w:val="23"/>
              </w:rPr>
              <w:t xml:space="preserve">, </w:t>
            </w:r>
            <w:r>
              <w:rPr>
                <w:rStyle w:val="210"/>
                <w:rFonts w:eastAsiaTheme="minorHAnsi"/>
                <w:spacing w:val="-4"/>
                <w:sz w:val="23"/>
                <w:szCs w:val="23"/>
              </w:rPr>
              <w:t>социально ориентированным некоммерческим организациям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F" w:rsidRDefault="008D6E9F">
            <w:pPr>
              <w:spacing w:line="256" w:lineRule="auto"/>
              <w:ind w:right="116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предоставляются</w:t>
            </w:r>
          </w:p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rStyle w:val="210"/>
                <w:rFonts w:eastAsiaTheme="minorHAnsi"/>
                <w:sz w:val="24"/>
                <w:szCs w:val="24"/>
              </w:rPr>
              <w:t>Срок, место и порядок подачи заявок участников открытого конкурса в электронной форме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rStyle w:val="210"/>
                <w:rFonts w:eastAsiaTheme="minorHAnsi"/>
                <w:spacing w:val="-8"/>
                <w:sz w:val="24"/>
                <w:szCs w:val="24"/>
              </w:rPr>
              <w:t xml:space="preserve">Подача заявок на участие в открытом конкурсе в электронной форме осуществляется участниками открытого конкурса в электронной форме, в порядке, предусмотренном статьей 54.4 </w:t>
            </w:r>
            <w:r>
              <w:rPr>
                <w:spacing w:val="-8"/>
                <w:sz w:val="24"/>
                <w:szCs w:val="24"/>
                <w:lang w:eastAsia="en-US"/>
              </w:rPr>
              <w:t>Федерального закона 44-ФЗ.</w:t>
            </w:r>
          </w:p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pacing w:val="-8"/>
                <w:sz w:val="24"/>
                <w:szCs w:val="24"/>
                <w:lang w:eastAsia="en-US"/>
              </w:rPr>
            </w:pPr>
            <w:proofErr w:type="gramStart"/>
            <w:r>
              <w:rPr>
                <w:spacing w:val="-8"/>
                <w:sz w:val="24"/>
                <w:szCs w:val="24"/>
                <w:lang w:eastAsia="en-US"/>
              </w:rPr>
              <w:t xml:space="preserve">Участник открытого конкурса в электронной форме вправе подать заявку на участие в открытом конкурсе в электронной форме в любое время с </w:t>
            </w:r>
            <w:r>
              <w:rPr>
                <w:spacing w:val="-8"/>
                <w:sz w:val="24"/>
                <w:szCs w:val="24"/>
                <w:lang w:eastAsia="en-US"/>
              </w:rPr>
              <w:lastRenderedPageBreak/>
              <w:t>момента размещения извещения о его проведении до предусмотренных конкурсной документацией даты и времени окончания срока подачи таких заявок.</w:t>
            </w:r>
            <w:proofErr w:type="gramEnd"/>
          </w:p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 xml:space="preserve">Участник открытого конкурса в электронной форме вправе подать только одну заявку на участие </w:t>
            </w:r>
            <w:r>
              <w:rPr>
                <w:spacing w:val="-8"/>
                <w:sz w:val="24"/>
                <w:szCs w:val="24"/>
                <w:lang w:eastAsia="en-US"/>
              </w:rPr>
              <w:br/>
              <w:t>в открытом конкурсе в электронной форме</w:t>
            </w: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18.1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Style w:val="210"/>
                <w:rFonts w:eastAsiaTheme="minorHAns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Начало срока подачи заявок на участие в открытом конкурсе в электронной форме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 w:bidi="ru-RU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 момента размещения извещения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о проведении открытого конкурса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br/>
              <w:t>в электронной форме</w:t>
            </w:r>
            <w:r>
              <w:rPr>
                <w:rFonts w:eastAsiaTheme="minorHAnsi"/>
                <w:sz w:val="24"/>
                <w:szCs w:val="24"/>
                <w:lang w:eastAsia="en-US" w:bidi="ru-RU"/>
              </w:rPr>
              <w:tab/>
            </w: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18.2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Дата и время окончания срока подачи заявок на участие в открытом конкурсе в электронной форме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F" w:rsidRDefault="00DC1B2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«01 » марта 2021 года в 10 - 00</w:t>
            </w:r>
          </w:p>
          <w:p w:rsidR="008D6E9F" w:rsidRDefault="008D6E9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(время московское)</w:t>
            </w:r>
          </w:p>
          <w:p w:rsidR="008D6E9F" w:rsidRDefault="008D6E9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18.3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bookmarkStart w:id="0" w:name="OLE_LINK115"/>
            <w:bookmarkStart w:id="1" w:name="OLE_LINK117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Дата и время рассмотрения и оценки первых частей заявок на участие в открытом конкурсе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br/>
              <w:t>в электронной форме</w:t>
            </w:r>
            <w:bookmarkEnd w:id="0"/>
            <w:bookmarkEnd w:id="1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F" w:rsidRDefault="00DC1B2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04 » марта 2021 года в 11 - 00</w:t>
            </w:r>
          </w:p>
          <w:p w:rsidR="008D6E9F" w:rsidRDefault="008D6E9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(время московское)</w:t>
            </w:r>
          </w:p>
          <w:p w:rsidR="008D6E9F" w:rsidRDefault="008D6E9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18.4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pacing w:val="-1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-10"/>
                <w:sz w:val="24"/>
                <w:szCs w:val="24"/>
                <w:lang w:eastAsia="en-US"/>
              </w:rPr>
              <w:t>Дата подачи участниками открытого конкурса в электронной форме окончательных предложений о цене контракта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DC1B2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09 » марта</w:t>
            </w:r>
            <w:r w:rsidR="008D6E9F">
              <w:rPr>
                <w:sz w:val="24"/>
                <w:szCs w:val="24"/>
                <w:lang w:eastAsia="en-US"/>
              </w:rPr>
              <w:t xml:space="preserve"> 2021 года</w:t>
            </w: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18.5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Дата  и время рассмотрения и оценки вторых частей заявок на участие в открытом конкурсе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br/>
              <w:t>в электронной форме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F" w:rsidRDefault="00DC1B2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10» марта 2021 года в 10 - 00</w:t>
            </w:r>
          </w:p>
          <w:p w:rsidR="008D6E9F" w:rsidRDefault="008D6E9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(время московское)</w:t>
            </w:r>
          </w:p>
          <w:p w:rsidR="008D6E9F" w:rsidRDefault="008D6E9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18.6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spacing w:line="256" w:lineRule="auto"/>
              <w:jc w:val="both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rStyle w:val="210"/>
                <w:rFonts w:eastAsiaTheme="minorHAnsi"/>
                <w:spacing w:val="-10"/>
                <w:sz w:val="24"/>
                <w:szCs w:val="24"/>
              </w:rPr>
              <w:t xml:space="preserve">Порядок предоставления участникам открытого конкурса в электронной форме разъяснений положений конкурсной документации 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spacing w:line="256" w:lineRule="auto"/>
              <w:ind w:right="-7"/>
              <w:contextualSpacing/>
              <w:jc w:val="both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-10"/>
                <w:sz w:val="24"/>
                <w:szCs w:val="24"/>
                <w:shd w:val="clear" w:color="auto" w:fill="FFFFFF"/>
                <w:lang w:eastAsia="en-US" w:bidi="ru-RU"/>
              </w:rPr>
              <w:t xml:space="preserve">В течение двух рабочих дней с даты поступления от оператора электронной площадки запроса о даче разъяснений положений конкурсной документации заказчик размещает в единой информационной системе разъяснения положений конкурсной документации с указанием предмета запроса при условии, что указанный запрос поступил к заказчику не </w:t>
            </w:r>
            <w:proofErr w:type="gramStart"/>
            <w:r>
              <w:rPr>
                <w:rFonts w:eastAsia="Calibri"/>
                <w:color w:val="000000"/>
                <w:spacing w:val="-10"/>
                <w:sz w:val="24"/>
                <w:szCs w:val="24"/>
                <w:shd w:val="clear" w:color="auto" w:fill="FFFFFF"/>
                <w:lang w:eastAsia="en-US" w:bidi="ru-RU"/>
              </w:rPr>
              <w:t>позднее</w:t>
            </w:r>
            <w:proofErr w:type="gramEnd"/>
            <w:r>
              <w:rPr>
                <w:rFonts w:eastAsia="Calibri"/>
                <w:color w:val="000000"/>
                <w:spacing w:val="-10"/>
                <w:sz w:val="24"/>
                <w:szCs w:val="24"/>
                <w:shd w:val="clear" w:color="auto" w:fill="FFFFFF"/>
                <w:lang w:eastAsia="en-US" w:bidi="ru-RU"/>
              </w:rPr>
              <w:t xml:space="preserve"> чем за пять дней до даты окончания срока подачи заявок на участие в открытом конкурсе </w:t>
            </w:r>
            <w:r>
              <w:rPr>
                <w:rFonts w:eastAsia="Calibri"/>
                <w:color w:val="000000"/>
                <w:spacing w:val="-10"/>
                <w:sz w:val="24"/>
                <w:szCs w:val="24"/>
                <w:shd w:val="clear" w:color="auto" w:fill="FFFFFF"/>
                <w:lang w:eastAsia="en-US" w:bidi="ru-RU"/>
              </w:rPr>
              <w:br/>
              <w:t>в электронной форме</w:t>
            </w: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18.7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pacing w:val="-10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pacing w:val="-10"/>
                <w:sz w:val="24"/>
                <w:szCs w:val="24"/>
                <w:lang w:eastAsia="en-US"/>
              </w:rPr>
              <w:t xml:space="preserve">Дата начала срока предоставления участникам открытого конкурса </w:t>
            </w:r>
            <w:r>
              <w:rPr>
                <w:color w:val="000000" w:themeColor="text1"/>
                <w:spacing w:val="-10"/>
                <w:sz w:val="24"/>
                <w:szCs w:val="24"/>
                <w:lang w:eastAsia="en-US"/>
              </w:rPr>
              <w:br/>
              <w:t>в электронной форме разъяснений положений конкурсной документации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DC1B2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«04 » февраля</w:t>
            </w:r>
            <w:r w:rsidR="008D6E9F">
              <w:rPr>
                <w:sz w:val="24"/>
                <w:szCs w:val="24"/>
                <w:lang w:eastAsia="en-US"/>
              </w:rPr>
              <w:t xml:space="preserve"> 2021 года </w:t>
            </w:r>
          </w:p>
        </w:tc>
      </w:tr>
      <w:tr w:rsidR="008D6E9F" w:rsidTr="008D6E9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18.8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E9F" w:rsidRDefault="008D6E9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pacing w:val="-10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pacing w:val="-10"/>
                <w:sz w:val="24"/>
                <w:szCs w:val="24"/>
                <w:lang w:eastAsia="en-US"/>
              </w:rPr>
              <w:t xml:space="preserve">Дата окончания срока предоставления участникам открытого конкурса </w:t>
            </w:r>
            <w:r>
              <w:rPr>
                <w:color w:val="000000" w:themeColor="text1"/>
                <w:spacing w:val="-10"/>
                <w:sz w:val="24"/>
                <w:szCs w:val="24"/>
                <w:lang w:eastAsia="en-US"/>
              </w:rPr>
              <w:br/>
              <w:t>в электронной форме разъяснений положений конкурсной документации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9F" w:rsidRDefault="00DC1B24">
            <w:pPr>
              <w:spacing w:line="256" w:lineRule="auto"/>
              <w:jc w:val="both"/>
              <w:rPr>
                <w:rStyle w:val="210"/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« 24» февраля</w:t>
            </w:r>
            <w:bookmarkStart w:id="2" w:name="_GoBack"/>
            <w:bookmarkEnd w:id="2"/>
            <w:r w:rsidR="008D6E9F">
              <w:rPr>
                <w:sz w:val="24"/>
                <w:szCs w:val="24"/>
                <w:lang w:eastAsia="en-US"/>
              </w:rPr>
              <w:t xml:space="preserve"> 2021 года</w:t>
            </w:r>
            <w:r w:rsidR="008D6E9F">
              <w:rPr>
                <w:rStyle w:val="210"/>
                <w:rFonts w:eastAsiaTheme="minorHAnsi"/>
                <w:sz w:val="24"/>
                <w:szCs w:val="24"/>
              </w:rPr>
              <w:t xml:space="preserve"> </w:t>
            </w:r>
          </w:p>
          <w:p w:rsidR="008D6E9F" w:rsidRDefault="008D6E9F">
            <w:pPr>
              <w:spacing w:line="256" w:lineRule="auto"/>
              <w:jc w:val="both"/>
              <w:rPr>
                <w:rStyle w:val="210"/>
                <w:rFonts w:eastAsiaTheme="minorHAnsi"/>
                <w:sz w:val="24"/>
                <w:szCs w:val="24"/>
              </w:rPr>
            </w:pPr>
            <w:r>
              <w:rPr>
                <w:rStyle w:val="210"/>
                <w:rFonts w:eastAsiaTheme="minorHAnsi"/>
                <w:sz w:val="24"/>
                <w:szCs w:val="24"/>
              </w:rPr>
              <w:t>(при условии, что запрос поступил в сроки, предусмотренные частью 8 статьи 54.3 Федерального закона 44-ФЗ)</w:t>
            </w:r>
          </w:p>
          <w:p w:rsidR="008D6E9F" w:rsidRDefault="008D6E9F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B475AA" w:rsidRDefault="00B475AA"/>
    <w:sectPr w:rsidR="00B4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4B04"/>
    <w:multiLevelType w:val="multilevel"/>
    <w:tmpl w:val="B68215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AC714E"/>
    <w:multiLevelType w:val="multilevel"/>
    <w:tmpl w:val="0CC653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9D"/>
    <w:rsid w:val="000C106B"/>
    <w:rsid w:val="007A7B3F"/>
    <w:rsid w:val="00813E40"/>
    <w:rsid w:val="008D6E9F"/>
    <w:rsid w:val="009A3E95"/>
    <w:rsid w:val="00A8309D"/>
    <w:rsid w:val="00B475AA"/>
    <w:rsid w:val="00C01272"/>
    <w:rsid w:val="00DC1B24"/>
    <w:rsid w:val="00E46377"/>
    <w:rsid w:val="00F2041E"/>
    <w:rsid w:val="00F258BE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30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Heading 1_Rus,Document Header1,ЗАГОЛОВОК1,H1,Heading for Top Section,Heading 0,heading1,1,(раздел),h1,Heading 1,Заголов,ch,Заголовок 1 прописные,Н1,app heading 1,ITT t1,II+,I,H11,H12,H13,H14,H15,H16,H17,H18,H111,H121,H131,H141,H151,H161,H171"/>
    <w:basedOn w:val="a0"/>
    <w:next w:val="a0"/>
    <w:link w:val="10"/>
    <w:qFormat/>
    <w:rsid w:val="00A8309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eading 1_Rus Знак,Document Header1 Знак,ЗАГОЛОВОК1 Знак,H1 Знак,Heading for Top Section Знак,Heading 0 Знак,heading1 Знак,1 Знак,(раздел) Знак,h1 Знак,Heading 1 Знак,Заголов Знак,ch Знак,Заголовок 1 прописные Знак,Н1 Знак,ITT t1 Знак"/>
    <w:basedOn w:val="a1"/>
    <w:link w:val="1"/>
    <w:rsid w:val="00A8309D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5"/>
    <w:uiPriority w:val="34"/>
    <w:locked/>
    <w:rsid w:val="00A8309D"/>
    <w:rPr>
      <w:sz w:val="24"/>
      <w:szCs w:val="24"/>
      <w:lang w:val="x-none" w:eastAsia="x-none"/>
    </w:rPr>
  </w:style>
  <w:style w:type="paragraph" w:styleId="a5">
    <w:name w:val="List Paragraph"/>
    <w:aliases w:val="Bullet List,FooterText,numbered,Paragraphe de liste1,lp1"/>
    <w:basedOn w:val="a0"/>
    <w:link w:val="a4"/>
    <w:uiPriority w:val="34"/>
    <w:qFormat/>
    <w:rsid w:val="00A8309D"/>
    <w:pPr>
      <w:ind w:left="720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paragraph" w:customStyle="1" w:styleId="a">
    <w:name w:val="Текст ТД"/>
    <w:basedOn w:val="a0"/>
    <w:link w:val="a6"/>
    <w:uiPriority w:val="99"/>
    <w:rsid w:val="00A8309D"/>
    <w:pPr>
      <w:numPr>
        <w:numId w:val="1"/>
      </w:numPr>
      <w:autoSpaceDE w:val="0"/>
      <w:autoSpaceDN w:val="0"/>
      <w:adjustRightInd w:val="0"/>
      <w:spacing w:after="200"/>
    </w:pPr>
    <w:rPr>
      <w:rFonts w:eastAsia="Calibri"/>
      <w:sz w:val="24"/>
      <w:szCs w:val="24"/>
    </w:rPr>
  </w:style>
  <w:style w:type="character" w:customStyle="1" w:styleId="a6">
    <w:name w:val="Текст ТД Знак"/>
    <w:link w:val="a"/>
    <w:uiPriority w:val="99"/>
    <w:locked/>
    <w:rsid w:val="00A8309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05pt">
    <w:name w:val="Основной текст (2) + 10;5 pt"/>
    <w:basedOn w:val="a1"/>
    <w:rsid w:val="00A83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">
    <w:name w:val="Основной текст (2) + 10"/>
    <w:aliases w:val="5 pt"/>
    <w:basedOn w:val="a1"/>
    <w:rsid w:val="00C012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styleId="a7">
    <w:name w:val="Hyperlink"/>
    <w:basedOn w:val="a1"/>
    <w:uiPriority w:val="99"/>
    <w:semiHidden/>
    <w:unhideWhenUsed/>
    <w:rsid w:val="008D6E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30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Heading 1_Rus,Document Header1,ЗАГОЛОВОК1,H1,Heading for Top Section,Heading 0,heading1,1,(раздел),h1,Heading 1,Заголов,ch,Заголовок 1 прописные,Н1,app heading 1,ITT t1,II+,I,H11,H12,H13,H14,H15,H16,H17,H18,H111,H121,H131,H141,H151,H161,H171"/>
    <w:basedOn w:val="a0"/>
    <w:next w:val="a0"/>
    <w:link w:val="10"/>
    <w:qFormat/>
    <w:rsid w:val="00A8309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eading 1_Rus Знак,Document Header1 Знак,ЗАГОЛОВОК1 Знак,H1 Знак,Heading for Top Section Знак,Heading 0 Знак,heading1 Знак,1 Знак,(раздел) Знак,h1 Знак,Heading 1 Знак,Заголов Знак,ch Знак,Заголовок 1 прописные Знак,Н1 Знак,ITT t1 Знак"/>
    <w:basedOn w:val="a1"/>
    <w:link w:val="1"/>
    <w:rsid w:val="00A8309D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5"/>
    <w:uiPriority w:val="34"/>
    <w:locked/>
    <w:rsid w:val="00A8309D"/>
    <w:rPr>
      <w:sz w:val="24"/>
      <w:szCs w:val="24"/>
      <w:lang w:val="x-none" w:eastAsia="x-none"/>
    </w:rPr>
  </w:style>
  <w:style w:type="paragraph" w:styleId="a5">
    <w:name w:val="List Paragraph"/>
    <w:aliases w:val="Bullet List,FooterText,numbered,Paragraphe de liste1,lp1"/>
    <w:basedOn w:val="a0"/>
    <w:link w:val="a4"/>
    <w:uiPriority w:val="34"/>
    <w:qFormat/>
    <w:rsid w:val="00A8309D"/>
    <w:pPr>
      <w:ind w:left="720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paragraph" w:customStyle="1" w:styleId="a">
    <w:name w:val="Текст ТД"/>
    <w:basedOn w:val="a0"/>
    <w:link w:val="a6"/>
    <w:uiPriority w:val="99"/>
    <w:rsid w:val="00A8309D"/>
    <w:pPr>
      <w:numPr>
        <w:numId w:val="1"/>
      </w:numPr>
      <w:autoSpaceDE w:val="0"/>
      <w:autoSpaceDN w:val="0"/>
      <w:adjustRightInd w:val="0"/>
      <w:spacing w:after="200"/>
    </w:pPr>
    <w:rPr>
      <w:rFonts w:eastAsia="Calibri"/>
      <w:sz w:val="24"/>
      <w:szCs w:val="24"/>
    </w:rPr>
  </w:style>
  <w:style w:type="character" w:customStyle="1" w:styleId="a6">
    <w:name w:val="Текст ТД Знак"/>
    <w:link w:val="a"/>
    <w:uiPriority w:val="99"/>
    <w:locked/>
    <w:rsid w:val="00A8309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05pt">
    <w:name w:val="Основной текст (2) + 10;5 pt"/>
    <w:basedOn w:val="a1"/>
    <w:rsid w:val="00A83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">
    <w:name w:val="Основной текст (2) + 10"/>
    <w:aliases w:val="5 pt"/>
    <w:basedOn w:val="a1"/>
    <w:rsid w:val="00C012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styleId="a7">
    <w:name w:val="Hyperlink"/>
    <w:basedOn w:val="a1"/>
    <w:uiPriority w:val="99"/>
    <w:semiHidden/>
    <w:unhideWhenUsed/>
    <w:rsid w:val="008D6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5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3012" TargetMode="External"/><Relationship Id="rId13" Type="http://schemas.openxmlformats.org/officeDocument/2006/relationships/hyperlink" Target="consultantplus://offline/ref=B5A6AB54E2966B8B42BB15D57B296545CD98CEF3CE79138186011206CBB33DA4FB0E82FADE2612d2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089E68759B8E9465964004CE6EF3ECB998213D44D4DDB14D7BA6CC635B42616F2D1C7D80741X004O" TargetMode="External"/><Relationship Id="rId12" Type="http://schemas.openxmlformats.org/officeDocument/2006/relationships/hyperlink" Target="consultantplus://offline/ref=09B4394CEA1CC39F09F6BDFDB2FC64C3C6335DD4673A235C34B284D1B5459ADC3F8F16E56397Z2O5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22D8388D3BBF2AD40447EDF6926B619EF0E4EA1C301DF89B0CC7263DF36A285A2607C20C74EEBA8EEB4447C80E0C9CBF9284FD55C98EAAK8qFN" TargetMode="External"/><Relationship Id="rId11" Type="http://schemas.openxmlformats.org/officeDocument/2006/relationships/hyperlink" Target="consultantplus://offline/ref=09B4394CEA1CC39F09F6BDFDB2FC64C3C6335DD4673A235C34B284D1B5459ADC3F8F16E56398Z2O1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B4394CEA1CC39F09F6BDFDB2FC64C3C6335DD4673A235C34B284D1B5459ADC3F8F16E5639AZ2O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B4394CEA1CC39F09F6BDFDB2FC64C3C6335DD4673A235C34B284D1B5459ADC3F8F16E6639E2B60Z1O0I" TargetMode="External"/><Relationship Id="rId14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18</cp:revision>
  <dcterms:created xsi:type="dcterms:W3CDTF">2021-02-02T10:09:00Z</dcterms:created>
  <dcterms:modified xsi:type="dcterms:W3CDTF">2021-02-04T07:04:00Z</dcterms:modified>
</cp:coreProperties>
</file>