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84" w:rsidRPr="00303112" w:rsidRDefault="003039BE" w:rsidP="00303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12">
        <w:rPr>
          <w:rFonts w:ascii="Times New Roman" w:hAnsi="Times New Roman" w:cs="Times New Roman"/>
          <w:b/>
          <w:sz w:val="24"/>
          <w:szCs w:val="24"/>
        </w:rPr>
        <w:t>Извещение о проведении электронного аукциона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4819"/>
      </w:tblGrid>
      <w:tr w:rsidR="00303112" w:rsidRPr="00303112" w:rsidTr="00DF1FF9">
        <w:trPr>
          <w:trHeight w:hRule="exact" w:val="536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Сведения о заказчике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казенное учреждение «Научно-производственное объединение «Специальная техника и связь» Министерства внутренних дел Российской Федерации (ФКУ НПО «СТиС» МВД России)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Место нахождения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ул. Пруд Ключики, д. 2, Москва, 111024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Почтовый адрес</w:t>
            </w:r>
          </w:p>
        </w:tc>
        <w:tc>
          <w:tcPr>
            <w:tcW w:w="4819" w:type="dxa"/>
            <w:vMerge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106541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03112" w:rsidRPr="003031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stis</w:t>
              </w:r>
              <w:r w:rsidR="00303112" w:rsidRPr="003031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303112" w:rsidRPr="003031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r w:rsidR="00303112" w:rsidRPr="003031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03112" w:rsidRPr="003031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gov</w:t>
              </w:r>
              <w:r w:rsidR="00303112" w:rsidRPr="003031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3112" w:rsidRPr="003031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+7 (495) 673-91-82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Контактное лицо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Христофорова Екатерина Андреевна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Информация о контрактной службе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Место нахождения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ул. Пруд Ключики, д. 2, Москва, 111024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Почтовый адрес</w:t>
            </w:r>
          </w:p>
        </w:tc>
        <w:tc>
          <w:tcPr>
            <w:tcW w:w="4819" w:type="dxa"/>
            <w:vMerge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Осипцева Екатерина Викторовна – первый заместитель руководителя контрактной службы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Ответственное должностное лицо Заказчика за заключение контракта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tabs>
                <w:tab w:val="left" w:pos="1723"/>
              </w:tabs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Исаков Юрий Владимирович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 (495) 667-08-14, доб. 14-20 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Краткое изложение условий контракта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191770802535877220100199640017219000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Поставка сре</w:t>
            </w:r>
            <w:proofErr w:type="gramStart"/>
            <w:r w:rsidRPr="0030311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дств кр</w:t>
            </w:r>
            <w:proofErr w:type="gramEnd"/>
            <w:r w:rsidRPr="0030311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иптографической защиты информации для нужд МВД России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В соответствии с разделом 10 </w:t>
            </w: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В соответствии с разделом 10 </w:t>
            </w: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303112" w:rsidRPr="00303112" w:rsidTr="00DF1FF9">
        <w:trPr>
          <w:trHeight w:val="542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Место доставки товара, проведения монтажа и пусконаладки поставляемого товара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В соответствии с разделом 10 </w:t>
            </w: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303112" w:rsidRPr="00303112" w:rsidTr="00DF1FF9">
        <w:trPr>
          <w:trHeight w:val="457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Сроки поставки товара, проведения монтажа и пусконаладки поставляемого товара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- </w:t>
            </w:r>
            <w:proofErr w:type="gramStart"/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контракта, окончание - 15 декабря 2019 г.</w:t>
            </w:r>
          </w:p>
        </w:tc>
      </w:tr>
      <w:tr w:rsidR="00303112" w:rsidRPr="00303112" w:rsidTr="00DF1FF9">
        <w:trPr>
          <w:trHeight w:val="2516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Начальная (максимальная) цена контракта, руб.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 xml:space="preserve">210 020 960,40 (двести десять миллионов двадцать тысяч девятьсот шестьдесят) рублей 40 копеек, в </w:t>
            </w:r>
            <w:proofErr w:type="spellStart"/>
            <w:r w:rsidRPr="003031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3112">
              <w:rPr>
                <w:rFonts w:ascii="Times New Roman" w:hAnsi="Times New Roman" w:cs="Times New Roman"/>
                <w:sz w:val="24"/>
                <w:szCs w:val="24"/>
              </w:rPr>
              <w:t>. НДС.</w:t>
            </w:r>
          </w:p>
          <w:p w:rsidR="00303112" w:rsidRPr="00303112" w:rsidRDefault="00303112" w:rsidP="0030311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Цена контракта включает в себя стоимость товара, проведение монтажа и пусконаладки, все сборы, налоги, обязательные платежи, расходы на оплату таможенных пошлин и страхование (если они есть), погрузочно-разгрузочные работы, транспортные, а также иные расходы Головного исполнителя, необходимые для исполнения контракта, в том числе НДС</w:t>
            </w:r>
          </w:p>
        </w:tc>
      </w:tr>
      <w:tr w:rsidR="00303112" w:rsidRPr="00303112" w:rsidTr="00DF1FF9">
        <w:trPr>
          <w:trHeight w:val="516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tabs>
                <w:tab w:val="left" w:pos="90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Федеральный бюджет в рамках </w:t>
            </w:r>
            <w:r w:rsidRPr="00303112">
              <w:rPr>
                <w:rStyle w:val="2105pt"/>
                <w:rFonts w:eastAsiaTheme="minorHAnsi"/>
                <w:sz w:val="24"/>
                <w:szCs w:val="24"/>
              </w:rPr>
              <w:t>государственного оборонного заказа</w:t>
            </w:r>
          </w:p>
        </w:tc>
      </w:tr>
      <w:tr w:rsidR="00303112" w:rsidRPr="00303112" w:rsidTr="00DF1FF9">
        <w:trPr>
          <w:trHeight w:val="430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188.0302.0840392019.211</w:t>
            </w:r>
          </w:p>
        </w:tc>
      </w:tr>
      <w:tr w:rsidR="00303112" w:rsidRPr="00303112" w:rsidTr="00DF1FF9">
        <w:trPr>
          <w:trHeight w:val="532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Код ОКПД 2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26.20.40.140</w:t>
            </w:r>
          </w:p>
        </w:tc>
      </w:tr>
      <w:tr w:rsidR="00303112" w:rsidRPr="00303112" w:rsidTr="00DF1FF9">
        <w:trPr>
          <w:trHeight w:val="605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Аукцион в электронной форме (электронный аукцион)</w:t>
            </w:r>
          </w:p>
        </w:tc>
      </w:tr>
      <w:tr w:rsidR="00303112" w:rsidRPr="00303112" w:rsidTr="00DF1FF9">
        <w:trPr>
          <w:trHeight w:val="942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pacing w:val="-6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http://</w:t>
            </w:r>
            <w:hyperlink r:id="rId9" w:history="1">
              <w:proofErr w:type="spellStart"/>
              <w:r w:rsidRPr="0030311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03112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0311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303112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3112">
                <w:rPr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303112" w:rsidRPr="00303112" w:rsidTr="00DF1FF9">
        <w:trPr>
          <w:trHeight w:val="339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Срок, место и порядок подачи заявок участников закупки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Подача заявок на участие в электронном аукционе осуществляется участниками закупки, в порядке, предусмотренном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br/>
              <w:t xml:space="preserve">статьей 66 </w:t>
            </w: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44-ФЗ</w:t>
            </w:r>
          </w:p>
        </w:tc>
      </w:tr>
      <w:tr w:rsidR="00303112" w:rsidRPr="00303112" w:rsidTr="00A04702">
        <w:trPr>
          <w:trHeight w:val="1859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Размер и порядок внесения денежных сре</w:t>
            </w:r>
            <w:proofErr w:type="gramStart"/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дств в к</w:t>
            </w:r>
            <w:proofErr w:type="gramEnd"/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ачестве обеспечения заявок на участие в закупке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left="34" w:right="-7"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5 % начальной (максимальной) цены контракта. </w:t>
            </w:r>
          </w:p>
          <w:p w:rsidR="00303112" w:rsidRPr="00303112" w:rsidRDefault="00303112" w:rsidP="00303112">
            <w:pPr>
              <w:spacing w:line="240" w:lineRule="auto"/>
              <w:ind w:left="34" w:right="-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В соответствии с частью 10 </w:t>
            </w:r>
            <w:r w:rsidRPr="003031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br/>
              <w:t>статьи 44 Федерального закона 44-ФЗ (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>раздел 5 документации об электронном аукционе</w:t>
            </w:r>
            <w:r w:rsidRPr="003031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Размер обеспечения исполнения контракта, порядок его предоставления и требования к нему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30 % начальной (максимальной) цены контракта. Порядок предоставления обеспечения контракта и требования 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br/>
              <w:t xml:space="preserve">к нему указаны в разделе 8 аукционной документации. </w:t>
            </w:r>
            <w:r w:rsidRPr="00303112">
              <w:rPr>
                <w:rStyle w:val="2105pt"/>
                <w:rFonts w:eastAsiaTheme="minorHAnsi"/>
                <w:sz w:val="24"/>
                <w:szCs w:val="24"/>
              </w:rPr>
              <w:t>В случае</w:t>
            </w:r>
            <w:proofErr w:type="gramStart"/>
            <w:r w:rsidRPr="00303112">
              <w:rPr>
                <w:rStyle w:val="2105pt"/>
                <w:rFonts w:eastAsiaTheme="minorHAnsi"/>
                <w:sz w:val="24"/>
                <w:szCs w:val="24"/>
              </w:rPr>
              <w:t>,</w:t>
            </w:r>
            <w:proofErr w:type="gramEnd"/>
            <w:r w:rsidRPr="00303112">
              <w:rPr>
                <w:rStyle w:val="2105pt"/>
                <w:rFonts w:eastAsiaTheme="minorHAnsi"/>
                <w:sz w:val="24"/>
                <w:szCs w:val="24"/>
              </w:rPr>
              <w:t xml:space="preserve"> если закупка осуществляется в рамках размещения государственного оборонного заказа, и в качестве обеспечения исполнения государственного контракта предоставляется банковская гарантия, то указывать Бенефициара: Министерство </w:t>
            </w:r>
            <w:r w:rsidRPr="00303112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внутренних дел Российской Федерации в лице ФКУ НПО «СТиС» МВД России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b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Требование к обеспечению гарантийных обязательств </w:t>
            </w:r>
            <w:r w:rsidRPr="0030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30311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4 статьи 33</w:t>
              </w:r>
            </w:hyperlink>
            <w:r w:rsidRPr="0030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44-ФЗ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Гарантийные обязательства могут обеспечиваться предоставлением банковской гарантии, выданной банком и соответствующей требованиям статьи 45 Федерального закона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гарантийных обязательств, срок действия банковской гарантии определяются в соответствии с требованиями Федерального закона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44-ФЗ.</w:t>
            </w:r>
          </w:p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Theme="minorHAnsi"/>
                <w:sz w:val="24"/>
                <w:szCs w:val="24"/>
              </w:rPr>
              <w:t>В случае</w:t>
            </w:r>
            <w:proofErr w:type="gramStart"/>
            <w:r w:rsidRPr="00303112">
              <w:rPr>
                <w:rStyle w:val="2105pt"/>
                <w:rFonts w:eastAsiaTheme="minorHAnsi"/>
                <w:sz w:val="24"/>
                <w:szCs w:val="24"/>
              </w:rPr>
              <w:t>,</w:t>
            </w:r>
            <w:proofErr w:type="gramEnd"/>
            <w:r w:rsidRPr="00303112">
              <w:rPr>
                <w:rStyle w:val="2105pt"/>
                <w:rFonts w:eastAsiaTheme="minorHAnsi"/>
                <w:sz w:val="24"/>
                <w:szCs w:val="24"/>
              </w:rPr>
              <w:t xml:space="preserve"> если закупка осуществляется в рамках размещения государственного оборонного заказа, и в качестве обеспечения исполнения государственного контракта предоставляется банковская гарантия, то указывать Бенефициара: Министерство внутренних дел Российской Федерации в лице ФКУ НПО «СТиС» МВД России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9.1.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Размер обеспечения гарантийных обязательств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10% начальной (максимальной) цены контракта 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 xml:space="preserve">Информация о банковском сопровождении контракта в соответствии со статьей 35 </w:t>
            </w:r>
            <w:r w:rsidRPr="0030311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Федерального закона 44-ФЗ</w:t>
            </w:r>
            <w:r w:rsidRPr="0030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Порядок не установлен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112" w:rsidRPr="00303112" w:rsidTr="00DF1FF9">
        <w:trPr>
          <w:trHeight w:val="315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10.1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казначейском сопровождении контракта в соответствии со статьей 5 Федерального закона от 29.11.2018 № 459-ФЗ «О федеральном бюджете на 2019 год и на плановый период 2020 и 2021 годов»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>Установлено казначейское сопровождение контракта.</w:t>
            </w:r>
          </w:p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необходимость указания 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государственном контракте реквизитов лицевого счета, открытого органами Федерального казначейства для операций со средствами государственного оборонного заказа, Головному исполнителю 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осуществить операции 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br/>
              <w:t>по «резервированию» номера лицевого счета в соответствии с письмом Федерального казначейства от 20 марта 2018 г. № 07-04-05/05-4551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Дата и время окончания срока подачи заявок на участие в электронном аукционе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« </w:t>
            </w:r>
            <w:r w:rsidR="00A04702">
              <w:rPr>
                <w:rStyle w:val="2105pt"/>
                <w:rFonts w:eastAsia="Calibri"/>
                <w:sz w:val="24"/>
                <w:szCs w:val="24"/>
              </w:rPr>
              <w:t>23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 » </w:t>
            </w:r>
            <w:r w:rsidR="00A04702">
              <w:rPr>
                <w:rStyle w:val="2105pt"/>
                <w:rFonts w:eastAsia="Calibri"/>
                <w:sz w:val="24"/>
                <w:szCs w:val="24"/>
              </w:rPr>
              <w:t>октября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 2019 года,</w:t>
            </w:r>
          </w:p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10-00 (время московское)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12.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A0470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« </w:t>
            </w:r>
            <w:r w:rsidR="00A04702">
              <w:rPr>
                <w:rStyle w:val="2105pt"/>
                <w:rFonts w:eastAsia="Calibri"/>
                <w:sz w:val="24"/>
                <w:szCs w:val="24"/>
              </w:rPr>
              <w:t>24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 » </w:t>
            </w:r>
            <w:r w:rsidR="00A04702">
              <w:rPr>
                <w:rStyle w:val="2105pt"/>
                <w:rFonts w:eastAsia="Calibri"/>
                <w:sz w:val="24"/>
                <w:szCs w:val="24"/>
              </w:rPr>
              <w:t>октября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 2019 года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13.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Дата проведения электронного аукциона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A0470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« </w:t>
            </w:r>
            <w:r w:rsidR="00A04702">
              <w:rPr>
                <w:rStyle w:val="2105pt"/>
                <w:rFonts w:eastAsia="Calibri"/>
                <w:sz w:val="24"/>
                <w:szCs w:val="24"/>
              </w:rPr>
              <w:t>25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 » </w:t>
            </w:r>
            <w:r w:rsidR="00A04702">
              <w:rPr>
                <w:rStyle w:val="2105pt"/>
                <w:rFonts w:eastAsia="Calibri"/>
                <w:sz w:val="24"/>
                <w:szCs w:val="24"/>
              </w:rPr>
              <w:t>октября</w:t>
            </w:r>
            <w:bookmarkStart w:id="0" w:name="_GoBack"/>
            <w:bookmarkEnd w:id="0"/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 2019 года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 xml:space="preserve">Ограничение участия в определении поставщика (подрядчика, исполнителя), установленное в соответствии с </w:t>
            </w:r>
            <w:r w:rsidRPr="0030311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Федеральным законом 44-ФЗ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документации об электронном аукционе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14.1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Требования к участникам закупки в соответствии с пунктом 3 статьи 3 Федерального закона от 29.12.2012 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br/>
              <w:t>№ 275-ФЗ «О государственном оборонном заказе»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Участником закупки по государственному оборонному заказу может быть только юридическое лицо, созданное в соответствии с законодательством Российской Федерации.</w:t>
            </w:r>
          </w:p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>Головной исполнитель – юридическое лицо,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</w:t>
            </w:r>
          </w:p>
        </w:tc>
      </w:tr>
      <w:tr w:rsidR="00303112" w:rsidRPr="00303112" w:rsidTr="00DF1FF9">
        <w:trPr>
          <w:trHeight w:val="1684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15.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Преимущества, предоставляемые заказчиком в соответствии со статьями 28 и 29 Федерального закона 44-ФЗ; документы, подтверждающие право участника электронного аукциона на получение указанных преимуществ, или копии этих документов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15.1.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Преимущества, предоставляемые 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 xml:space="preserve">Предъявляемые к участникам аукциона требования в соответствии со статьей 31 Федерального закона </w:t>
            </w: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br/>
              <w:t xml:space="preserve">44-ФЗ 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112" w:rsidRPr="00303112" w:rsidTr="00DF1FF9">
        <w:trPr>
          <w:trHeight w:val="2567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Требования, предъявляемые к участникам аукциона в соответствии с частью 1 статьи 31 Федерального закона 44-ФЗ:</w:t>
            </w:r>
          </w:p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303112">
              <w:rPr>
                <w:rStyle w:val="2105pt"/>
                <w:rFonts w:eastAsia="Calibri"/>
                <w:sz w:val="24"/>
                <w:szCs w:val="24"/>
              </w:rPr>
              <w:t>являющихся</w:t>
            </w:r>
            <w:proofErr w:type="gramEnd"/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 объектом закупки;</w:t>
            </w:r>
          </w:p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исчерпывающий перечень документов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firstLine="318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proofErr w:type="gramStart"/>
            <w:r w:rsidRPr="003031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опия действующей лицензии ФСБ России на осуществление 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>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</w:t>
            </w:r>
            <w:proofErr w:type="gramEnd"/>
            <w:r w:rsidRPr="00303112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в части разрешенных видов работ: 12, 21 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>Перечня выполняемых работ и оказываемых услуг, составляющих лицензируемую деятельность, в отношении шифровальных (криптографических) средств, утв. Постановлением Правительства Российской Федерации от 16 апреля 2012 г. № 313.</w:t>
            </w:r>
          </w:p>
          <w:p w:rsidR="00303112" w:rsidRPr="00303112" w:rsidRDefault="00303112" w:rsidP="00303112">
            <w:pPr>
              <w:spacing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03112">
              <w:rPr>
                <w:rStyle w:val="2105pt"/>
                <w:rFonts w:eastAsiaTheme="minorHAnsi"/>
                <w:sz w:val="24"/>
                <w:szCs w:val="24"/>
              </w:rPr>
              <w:t>Единые требования установлены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разделе 3 </w:t>
            </w:r>
            <w:r w:rsidRPr="00303112">
              <w:rPr>
                <w:rStyle w:val="2105pt"/>
                <w:rFonts w:eastAsiaTheme="minorHAnsi"/>
                <w:sz w:val="24"/>
                <w:szCs w:val="24"/>
              </w:rPr>
              <w:t>документации об аукционе в электронной форме.</w:t>
            </w:r>
          </w:p>
        </w:tc>
      </w:tr>
      <w:tr w:rsidR="00303112" w:rsidRPr="00303112" w:rsidTr="00DF1FF9">
        <w:trPr>
          <w:trHeight w:val="765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16.2.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Предъявляемое к участникам аукциона требование в соответствии с частью 1.1 статьи 31 Федерального закона 44-ФЗ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Требование установлено</w:t>
            </w:r>
          </w:p>
        </w:tc>
      </w:tr>
      <w:tr w:rsidR="00303112" w:rsidRPr="00303112" w:rsidTr="00DF1FF9">
        <w:trPr>
          <w:trHeight w:val="1021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16.3.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3112">
              <w:rPr>
                <w:rStyle w:val="2105pt"/>
                <w:rFonts w:eastAsia="Calibri"/>
                <w:sz w:val="24"/>
                <w:szCs w:val="24"/>
              </w:rPr>
              <w:t>Предъявляемые к участникам аукциона требования в соответствии с частью 2 статьи 31 Федерального закона 44-ФЗ (дополнительные требования, в том числе к наличию:</w:t>
            </w:r>
            <w:proofErr w:type="gramEnd"/>
          </w:p>
          <w:p w:rsidR="00303112" w:rsidRPr="00303112" w:rsidRDefault="00303112" w:rsidP="00303112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финансовых ресурсов для исполнения контракта;</w:t>
            </w:r>
          </w:p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2) на праве собственности или ином законном основании оборудования и других материальных ресурсов для исполнения контракта;</w:t>
            </w:r>
          </w:p>
          <w:p w:rsidR="00303112" w:rsidRPr="00303112" w:rsidRDefault="00303112" w:rsidP="00303112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lastRenderedPageBreak/>
              <w:t>опыта работы, связанного с предметом контракта, и деловой репутации;</w:t>
            </w:r>
          </w:p>
          <w:p w:rsidR="00303112" w:rsidRPr="00303112" w:rsidRDefault="00303112" w:rsidP="00303112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необходимого количества специалистов и иных работников определенного уровня квалификации для исполнения контракта);</w:t>
            </w:r>
          </w:p>
          <w:p w:rsidR="00303112" w:rsidRPr="00303112" w:rsidRDefault="00303112" w:rsidP="00303112">
            <w:pPr>
              <w:tabs>
                <w:tab w:val="left" w:pos="22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и исчерпывающий перечень документов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lastRenderedPageBreak/>
              <w:t xml:space="preserve">Требования не установлены </w:t>
            </w:r>
          </w:p>
        </w:tc>
      </w:tr>
      <w:tr w:rsidR="00303112" w:rsidRPr="00303112" w:rsidTr="00DF1FF9">
        <w:trPr>
          <w:trHeight w:val="1690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  <w:r w:rsidRPr="0030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proofErr w:type="gramStart"/>
            <w:r w:rsidRPr="003031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031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autoSpaceDE w:val="0"/>
              <w:spacing w:line="240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3112" w:rsidRPr="00303112" w:rsidRDefault="00303112" w:rsidP="00303112">
            <w:pPr>
              <w:autoSpaceDE w:val="0"/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112" w:rsidRPr="00303112" w:rsidTr="00DF1FF9">
        <w:trPr>
          <w:trHeight w:val="302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17.1.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«16» ноября 2015 г. № 1236 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br/>
              <w:t>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03112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303112" w:rsidRPr="00303112" w:rsidTr="00DF1FF9">
        <w:trPr>
          <w:trHeight w:val="615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17.2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 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112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303112" w:rsidRPr="00303112" w:rsidTr="00DF1FF9">
        <w:trPr>
          <w:trHeight w:val="302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17.3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0311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 от 10 июля 2019г.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Федерации».</w:t>
            </w:r>
            <w:proofErr w:type="gramEnd"/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112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303112" w:rsidRPr="00303112" w:rsidTr="00DF1FF9">
        <w:trPr>
          <w:trHeight w:val="615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17.4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sz w:val="24"/>
                <w:szCs w:val="24"/>
                <w:highlight w:val="blue"/>
              </w:rPr>
            </w:pPr>
            <w:r w:rsidRPr="00303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Документы, подтверждающие соответствие участника электронного </w:t>
            </w:r>
            <w:r w:rsidRPr="00303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аукциона и (или) </w:t>
            </w:r>
            <w:proofErr w:type="gramStart"/>
            <w:r w:rsidRPr="00303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предлагаемых</w:t>
            </w:r>
            <w:proofErr w:type="gramEnd"/>
            <w:r w:rsidRPr="00303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 товара, работы или услуги условиям, запретам и ограничениям, установленным заказчиком в соответствии со статьей 14 </w:t>
            </w: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44-ФЗ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закупки предоставляет в составе заявки на участие в электронном аукционе 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предусмотренные постановлением Правительства РФ от 10.07.2019г. № 878 или копии таких документов.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Перечень документов, подтверждающих соответствие товара (работ, услуг)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 (работе, услуге)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Подтверждением соответствия радиоэлектронной продукции требованиям извещения об осуществлении закупки и (или) документации о закупке является декларация участника закупки о нахождении радиоэлектронной продукции в реестре с указанием номера реестровой записи.</w:t>
            </w:r>
          </w:p>
          <w:p w:rsidR="00303112" w:rsidRPr="00303112" w:rsidRDefault="00303112" w:rsidP="00303112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Подтверждением страны происхождения товаров является указание (декларирование) участником закупки в заявке в соответствии с Федеральным </w:t>
            </w:r>
            <w:hyperlink r:id="rId11" w:history="1">
              <w:r w:rsidRPr="0030311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законом</w:t>
              </w:r>
            </w:hyperlink>
            <w:r w:rsidRPr="00303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>44-ФЗ</w:t>
            </w:r>
            <w:r w:rsidRPr="0030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1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страны происхождения товара.</w:t>
            </w:r>
            <w:r w:rsidRPr="0030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19.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Официальный язык электронного аукциона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Русский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20.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Валюта, используемая для формирования цены контракта и расчетов с поставщиками (подрядчиками, исполнителями)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Российский рубль</w:t>
            </w:r>
          </w:p>
        </w:tc>
      </w:tr>
      <w:tr w:rsidR="00303112" w:rsidRPr="00303112" w:rsidTr="00DF1FF9">
        <w:trPr>
          <w:trHeight w:val="1540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21.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Для оплаты государственного контракта используются только рубли Российской Федерации без перевода на иностранные валюты</w:t>
            </w:r>
          </w:p>
        </w:tc>
      </w:tr>
      <w:tr w:rsidR="00303112" w:rsidRPr="00303112" w:rsidTr="00DF1FF9">
        <w:trPr>
          <w:trHeight w:val="3446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22.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Порядок предоставления участникам электронного аукциона разъяснений положений документации об аукционе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303112">
              <w:rPr>
                <w:rStyle w:val="2105pt"/>
                <w:rFonts w:eastAsia="Calibri"/>
                <w:sz w:val="24"/>
                <w:szCs w:val="24"/>
              </w:rPr>
              <w:t>позднее</w:t>
            </w:r>
            <w:proofErr w:type="gramEnd"/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 чем за три дня до даты окончания срока подачи заявок на участие в аукционе</w:t>
            </w:r>
          </w:p>
        </w:tc>
      </w:tr>
      <w:tr w:rsidR="00303112" w:rsidRPr="00303112" w:rsidTr="00DF1FF9">
        <w:trPr>
          <w:trHeight w:val="400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23.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 xml:space="preserve">Дата начала срока предоставления участникам электронного аукциона </w:t>
            </w: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lastRenderedPageBreak/>
              <w:t>разъяснений положений документации об аукционе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A0470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lastRenderedPageBreak/>
              <w:t xml:space="preserve">« </w:t>
            </w:r>
            <w:r w:rsidR="00A04702">
              <w:rPr>
                <w:rStyle w:val="2105pt"/>
                <w:rFonts w:eastAsia="Calibri"/>
                <w:sz w:val="24"/>
                <w:szCs w:val="24"/>
              </w:rPr>
              <w:t>15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 » </w:t>
            </w:r>
            <w:r w:rsidR="00A04702">
              <w:rPr>
                <w:rStyle w:val="2105pt"/>
                <w:rFonts w:eastAsia="Calibri"/>
                <w:sz w:val="24"/>
                <w:szCs w:val="24"/>
              </w:rPr>
              <w:t>октября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 2019 года</w:t>
            </w:r>
          </w:p>
        </w:tc>
      </w:tr>
      <w:tr w:rsidR="00303112" w:rsidRPr="00303112" w:rsidTr="00DF1FF9">
        <w:trPr>
          <w:trHeight w:val="1288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Дата окончания срока предоставления участникам электронного аукциона разъяснений положений документации об аукционе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A04702">
            <w:pPr>
              <w:spacing w:line="240" w:lineRule="auto"/>
              <w:ind w:right="-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« </w:t>
            </w:r>
            <w:r w:rsidR="00A04702">
              <w:rPr>
                <w:rStyle w:val="2105pt"/>
                <w:rFonts w:eastAsia="Calibri"/>
                <w:sz w:val="24"/>
                <w:szCs w:val="24"/>
              </w:rPr>
              <w:t>21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> » </w:t>
            </w:r>
            <w:r w:rsidR="00A04702">
              <w:rPr>
                <w:rStyle w:val="2105pt"/>
                <w:rFonts w:eastAsia="Calibri"/>
                <w:sz w:val="24"/>
                <w:szCs w:val="24"/>
              </w:rPr>
              <w:t>октября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t xml:space="preserve"> 2019 года </w:t>
            </w:r>
            <w:r w:rsidRPr="00303112">
              <w:rPr>
                <w:rStyle w:val="2105pt"/>
                <w:rFonts w:eastAsia="Calibri"/>
                <w:sz w:val="24"/>
                <w:szCs w:val="24"/>
              </w:rPr>
              <w:br/>
              <w:t>(при условии, что запрос поступил в сроки, предусмотренные частью 4 статьи 65 Федерального закона 44-ФЗ)</w:t>
            </w:r>
          </w:p>
        </w:tc>
      </w:tr>
      <w:tr w:rsidR="00303112" w:rsidRPr="00303112" w:rsidTr="00DF1FF9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303112" w:rsidRPr="00303112" w:rsidRDefault="00303112" w:rsidP="00303112">
            <w:pPr>
              <w:spacing w:line="240" w:lineRule="auto"/>
              <w:contextualSpacing/>
              <w:jc w:val="both"/>
              <w:rPr>
                <w:rStyle w:val="2105pt"/>
                <w:rFonts w:eastAsia="Calibri"/>
                <w:b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b/>
                <w:sz w:val="24"/>
                <w:szCs w:val="24"/>
              </w:rPr>
              <w:t>25.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 аукциона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303112" w:rsidRPr="00303112" w:rsidRDefault="00303112" w:rsidP="003031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2">
              <w:rPr>
                <w:rStyle w:val="2105pt"/>
                <w:rFonts w:eastAsia="Calibri"/>
                <w:sz w:val="24"/>
                <w:szCs w:val="24"/>
              </w:rPr>
              <w:t>Величина снижения начальной (максимальной) цены контракта (шаг аукциона) составляет от 0,5 до 5 % начальной (максимальной) цены контракта</w:t>
            </w:r>
          </w:p>
        </w:tc>
      </w:tr>
    </w:tbl>
    <w:p w:rsidR="00393975" w:rsidRPr="00303112" w:rsidRDefault="00393975" w:rsidP="00303112">
      <w:pPr>
        <w:pStyle w:val="12"/>
        <w:shd w:val="clear" w:color="auto" w:fill="auto"/>
        <w:tabs>
          <w:tab w:val="left" w:pos="542"/>
        </w:tabs>
        <w:spacing w:line="280" w:lineRule="exact"/>
        <w:ind w:left="520"/>
        <w:rPr>
          <w:rFonts w:ascii="Times New Roman" w:hAnsi="Times New Roman" w:cs="Times New Roman"/>
          <w:sz w:val="24"/>
          <w:szCs w:val="24"/>
        </w:rPr>
      </w:pPr>
    </w:p>
    <w:sectPr w:rsidR="00393975" w:rsidRPr="0030311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41" w:rsidRDefault="00106541">
      <w:pPr>
        <w:spacing w:after="0" w:line="240" w:lineRule="auto"/>
      </w:pPr>
      <w:r>
        <w:separator/>
      </w:r>
    </w:p>
  </w:endnote>
  <w:endnote w:type="continuationSeparator" w:id="0">
    <w:p w:rsidR="00106541" w:rsidRDefault="0010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41" w:rsidRDefault="00106541">
      <w:pPr>
        <w:spacing w:after="0" w:line="240" w:lineRule="auto"/>
      </w:pPr>
      <w:r>
        <w:separator/>
      </w:r>
    </w:p>
  </w:footnote>
  <w:footnote w:type="continuationSeparator" w:id="0">
    <w:p w:rsidR="00106541" w:rsidRDefault="0010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B2" w:rsidRDefault="00D552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B04"/>
    <w:multiLevelType w:val="multilevel"/>
    <w:tmpl w:val="3FA043F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E0213"/>
    <w:multiLevelType w:val="multilevel"/>
    <w:tmpl w:val="923A3CEC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  <w:lang w:val="x-none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9073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">
    <w:nsid w:val="43AC714E"/>
    <w:multiLevelType w:val="multilevel"/>
    <w:tmpl w:val="0CC65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B"/>
    <w:rsid w:val="00052914"/>
    <w:rsid w:val="00106541"/>
    <w:rsid w:val="00296745"/>
    <w:rsid w:val="00303112"/>
    <w:rsid w:val="003039BE"/>
    <w:rsid w:val="00393975"/>
    <w:rsid w:val="00805BA2"/>
    <w:rsid w:val="0081555B"/>
    <w:rsid w:val="00A04702"/>
    <w:rsid w:val="00AE29FA"/>
    <w:rsid w:val="00D552B2"/>
    <w:rsid w:val="00F17155"/>
    <w:rsid w:val="00F53E84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1,Н1,H1,1,h1,app heading 1,ITT t1,II+,I,H11,H12,H13,H14,H15,H16,H17,H18,H111,H121,H131,H141,H151,H161,H171,H19,H112,H122,H132,H142,H152,H162,H172,H181,H1111,H1211,H1311,H1411,H1511,H1611,H1711,H110,H113,H123,H133,H143,H153,H163,H173,Зна"/>
    <w:basedOn w:val="a"/>
    <w:next w:val="2"/>
    <w:link w:val="10"/>
    <w:qFormat/>
    <w:rsid w:val="00393975"/>
    <w:pPr>
      <w:keepNext/>
      <w:keepLines/>
      <w:pageBreakBefore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  <w:lang w:val="x-none" w:eastAsia="x-none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,Н2"/>
    <w:basedOn w:val="a"/>
    <w:next w:val="3"/>
    <w:link w:val="20"/>
    <w:autoRedefine/>
    <w:qFormat/>
    <w:rsid w:val="00393975"/>
    <w:pPr>
      <w:keepNext/>
      <w:keepLines/>
      <w:tabs>
        <w:tab w:val="left" w:pos="851"/>
      </w:tabs>
      <w:suppressAutoHyphens/>
      <w:autoSpaceDN w:val="0"/>
      <w:adjustRightInd w:val="0"/>
      <w:spacing w:after="0" w:line="348" w:lineRule="auto"/>
      <w:ind w:firstLine="709"/>
      <w:contextualSpacing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aliases w:val="H3,Char,Heading 3 Char,Char Char,1.1.1 Многоуровневый текст,Chapter Subsection,OT Hdg 3,h3,l3,level3,3,summit,Kop 3V,Prophead 3,Titre 31,t3.T3,CT,ttt,Section,t3,Heading 3 - old,header 5,Headline3,Level 3 Head,OdsKap3,OdsKap3Überschrift,T3,Ma"/>
    <w:basedOn w:val="a"/>
    <w:next w:val="a0"/>
    <w:link w:val="3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4">
    <w:name w:val="heading 4"/>
    <w:aliases w:val="Заголовок 4 (Приложение),Level 2 - a,H4,h4,4,ASAPHeading 4,dash,4 dash,d,a.,Ref Heading 1,rh1,Heading sql,First Subheading,Ref Heading 11,rh11,Heading sql1,H42,h41,First Subheading1,Ref Heading 12,rh12,Heading sql2,H43,h42,First Subheading2"/>
    <w:basedOn w:val="a"/>
    <w:next w:val="a0"/>
    <w:link w:val="40"/>
    <w:qFormat/>
    <w:rsid w:val="00393975"/>
    <w:pPr>
      <w:keepNext/>
      <w:keepLines/>
      <w:tabs>
        <w:tab w:val="left" w:pos="993"/>
      </w:tabs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5">
    <w:name w:val="heading 5"/>
    <w:aliases w:val="Level 3 - i,Subheading,h5,Appendix A to X,Heading 5   Appendix A to X,Second Subheading,i) ii) iii),Lev 5,5,H5-Heading 5,l5,heading5,Heading5,Roman list,Roman list1,Roman list2,Roman list3,Roman list4,Roman list5,sb,Текст раздела,H5"/>
    <w:basedOn w:val="a"/>
    <w:next w:val="a0"/>
    <w:link w:val="5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left="9073" w:firstLine="709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6">
    <w:name w:val="heading 6"/>
    <w:aliases w:val="__Подпункт,PIM 6,Gliederung6,H6,Legal Level 1.,sub-dash,sd,6,Bullet list,T1,h6,Heading6,Requirement,sub-dash1,sd1,51,sub-dash2,sd2,52,sub-dash3,sd3,53,sub-dash4,sd4,54,sub-dash5,sd5,55,sub-dash6,sd6,56,Bullet list1,Bullet list2,Bullet list11"/>
    <w:basedOn w:val="a"/>
    <w:next w:val="a0"/>
    <w:link w:val="6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aliases w:val="PIM 7,Legal Level 1.1.,L7,7,ExhibitTitle,st,Objective,heading7,req3,letter list,lettered list,letter list1,lettered list1,letter list2,lettered list2,letter list11,lettered list11,letter list3,lettered list3,letter list12,lettered list12,Lev"/>
    <w:basedOn w:val="a"/>
    <w:next w:val="a0"/>
    <w:link w:val="7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0"/>
    <w:link w:val="8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9">
    <w:name w:val="heading 9"/>
    <w:aliases w:val="Legal Level 1.1.1.1.,aaa,PIM 9,Titre 10,Заголовок 90,Заголовок 9 Гост,9,TableTitle,Cond'l Reqt.,rb,req bullet,req1,App Heading,App Heading1,App Heading2,progress,progress1,progress2,progress11,progress3,progress4,progress5,progress6"/>
    <w:basedOn w:val="a"/>
    <w:next w:val="a0"/>
    <w:link w:val="9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8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3039BE"/>
    <w:rPr>
      <w:color w:val="0000FF"/>
      <w:u w:val="single"/>
    </w:rPr>
  </w:style>
  <w:style w:type="paragraph" w:styleId="a5">
    <w:name w:val="Normal (Web)"/>
    <w:aliases w:val="footnote text,Обычный (Web),Знак3,Знак21,Обычный (веб)1,Обычный (Web)1"/>
    <w:basedOn w:val="a"/>
    <w:link w:val="a6"/>
    <w:uiPriority w:val="99"/>
    <w:qFormat/>
    <w:rsid w:val="003039BE"/>
    <w:pPr>
      <w:widowControl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3039B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qFormat/>
    <w:rsid w:val="003039BE"/>
    <w:pPr>
      <w:widowControl w:val="0"/>
      <w:shd w:val="clear" w:color="auto" w:fill="FFFFFF"/>
      <w:spacing w:after="0" w:line="274" w:lineRule="exact"/>
      <w:jc w:val="both"/>
      <w:outlineLvl w:val="1"/>
    </w:pPr>
    <w:rPr>
      <w:b/>
      <w:bCs/>
    </w:rPr>
  </w:style>
  <w:style w:type="character" w:customStyle="1" w:styleId="2105pt">
    <w:name w:val="Основной текст (2) + 10;5 pt"/>
    <w:rsid w:val="00303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Обычный (веб) Знак"/>
    <w:aliases w:val="footnote text Знак,Обычный (Web) Знак,Знак3 Знак,Знак21 Знак,Обычный (веб)1 Знак,Обычный (Web)1 Знак"/>
    <w:link w:val="a5"/>
    <w:uiPriority w:val="99"/>
    <w:locked/>
    <w:rsid w:val="0030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1 Знак,Н1 Знак,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"/>
    <w:basedOn w:val="a1"/>
    <w:link w:val="1"/>
    <w:rsid w:val="00393975"/>
    <w:rPr>
      <w:rFonts w:ascii="Times New Roman" w:eastAsia="Times New Roman" w:hAnsi="Times New Roman" w:cs="Times New Roman"/>
      <w:b/>
      <w:bCs/>
      <w:cap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,Н2 Знак"/>
    <w:basedOn w:val="a1"/>
    <w:link w:val="2"/>
    <w:rsid w:val="0039397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Char Знак,Heading 3 Char Знак,Char Char Знак,1.1.1 Многоуровневый текст Знак,Chapter Subsection Знак,OT Hdg 3 Знак,h3 Знак,l3 Знак,level3 Знак,3 Знак,summit Знак,Kop 3V Знак,Prophead 3 Знак,Titre 31 Знак,t3.T3 Знак,CT Знак"/>
    <w:basedOn w:val="a1"/>
    <w:link w:val="3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Заголовок 4 (Приложение) Знак,Level 2 - a Знак,H4 Знак,h4 Знак,4 Знак,ASAPHeading 4 Знак,dash Знак,4 dash Знак,d Знак,a. Знак,Ref Heading 1 Знак,rh1 Знак,Heading sql Знак,First Subheading Знак,Ref Heading 11 Знак,rh11 Знак,H42 Знак"/>
    <w:basedOn w:val="a1"/>
    <w:link w:val="4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50">
    <w:name w:val="Заголовок 5 Знак"/>
    <w:aliases w:val="Level 3 - i Знак,Subheading Знак,h5 Знак,Appendix A to X Знак,Heading 5   Appendix A to X Знак,Second Subheading Знак,i) ii) iii) Знак,Lev 5 Знак,5 Знак,H5-Heading 5 Знак,l5 Знак,heading5 Знак,Heading5 Знак,Roman list Знак,sb Знак"/>
    <w:basedOn w:val="a1"/>
    <w:link w:val="5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60">
    <w:name w:val="Заголовок 6 Знак"/>
    <w:aliases w:val="__Подпункт Знак,PIM 6 Знак,Gliederung6 Знак,H6 Знак,Legal Level 1. Знак,sub-dash Знак,sd Знак,6 Знак,Bullet list Знак,T1 Знак,h6 Знак,Heading6 Знак,Requirement Знак,sub-dash1 Знак,sd1 Знак,51 Знак,sub-dash2 Знак,sd2 Знак,52 Знак,53 Знак"/>
    <w:basedOn w:val="a1"/>
    <w:link w:val="6"/>
    <w:rsid w:val="0039397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aliases w:val="PIM 7 Знак,Legal Level 1.1. Знак,L7 Знак,7 Знак,ExhibitTitle Знак,st Знак,Objective Знак,heading7 Знак,req3 Знак,letter list Знак,lettered list Знак,letter list1 Знак,lettered list1 Знак,letter list2 Знак,lettered list2 Знак,Lev Знак"/>
    <w:basedOn w:val="a1"/>
    <w:link w:val="7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90">
    <w:name w:val="Заголовок 9 Знак"/>
    <w:aliases w:val="Legal Level 1.1.1.1. Знак,aaa Знак,PIM 9 Знак,Titre 10 Знак,Заголовок 90 Знак,Заголовок 9 Гост Знак,9 Знак,TableTitle Знак,Cond'l Reqt. Знак,rb Знак,req bullet Знак,req1 Знак,App Heading Знак,App Heading1 Знак,App Heading2 Знак"/>
    <w:basedOn w:val="a1"/>
    <w:link w:val="9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0">
    <w:name w:val="_Основной с красной строки"/>
    <w:basedOn w:val="a"/>
    <w:link w:val="a7"/>
    <w:qFormat/>
    <w:rsid w:val="003939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_Основной с красной строки Знак"/>
    <w:link w:val="a0"/>
    <w:rsid w:val="0039397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1">
    <w:name w:val="Заголовок №1_"/>
    <w:link w:val="12"/>
    <w:rsid w:val="00393975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93975"/>
    <w:pPr>
      <w:widowControl w:val="0"/>
      <w:shd w:val="clear" w:color="auto" w:fill="FFFFFF"/>
      <w:spacing w:after="0" w:line="341" w:lineRule="exact"/>
      <w:jc w:val="both"/>
      <w:outlineLvl w:val="0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5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552B2"/>
  </w:style>
  <w:style w:type="paragraph" w:styleId="aa">
    <w:name w:val="footer"/>
    <w:basedOn w:val="a"/>
    <w:link w:val="ab"/>
    <w:uiPriority w:val="99"/>
    <w:unhideWhenUsed/>
    <w:rsid w:val="0030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03112"/>
  </w:style>
  <w:style w:type="character" w:customStyle="1" w:styleId="41">
    <w:name w:val="Основной текст (4)_"/>
    <w:link w:val="42"/>
    <w:rsid w:val="00303112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03112"/>
    <w:pPr>
      <w:widowControl w:val="0"/>
      <w:shd w:val="clear" w:color="auto" w:fill="FFFFFF"/>
      <w:spacing w:before="60" w:after="60" w:line="0" w:lineRule="atLeas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1,Н1,H1,1,h1,app heading 1,ITT t1,II+,I,H11,H12,H13,H14,H15,H16,H17,H18,H111,H121,H131,H141,H151,H161,H171,H19,H112,H122,H132,H142,H152,H162,H172,H181,H1111,H1211,H1311,H1411,H1511,H1611,H1711,H110,H113,H123,H133,H143,H153,H163,H173,Зна"/>
    <w:basedOn w:val="a"/>
    <w:next w:val="2"/>
    <w:link w:val="10"/>
    <w:qFormat/>
    <w:rsid w:val="00393975"/>
    <w:pPr>
      <w:keepNext/>
      <w:keepLines/>
      <w:pageBreakBefore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  <w:lang w:val="x-none" w:eastAsia="x-none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,Н2"/>
    <w:basedOn w:val="a"/>
    <w:next w:val="3"/>
    <w:link w:val="20"/>
    <w:autoRedefine/>
    <w:qFormat/>
    <w:rsid w:val="00393975"/>
    <w:pPr>
      <w:keepNext/>
      <w:keepLines/>
      <w:tabs>
        <w:tab w:val="left" w:pos="851"/>
      </w:tabs>
      <w:suppressAutoHyphens/>
      <w:autoSpaceDN w:val="0"/>
      <w:adjustRightInd w:val="0"/>
      <w:spacing w:after="0" w:line="348" w:lineRule="auto"/>
      <w:ind w:firstLine="709"/>
      <w:contextualSpacing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aliases w:val="H3,Char,Heading 3 Char,Char Char,1.1.1 Многоуровневый текст,Chapter Subsection,OT Hdg 3,h3,l3,level3,3,summit,Kop 3V,Prophead 3,Titre 31,t3.T3,CT,ttt,Section,t3,Heading 3 - old,header 5,Headline3,Level 3 Head,OdsKap3,OdsKap3Überschrift,T3,Ma"/>
    <w:basedOn w:val="a"/>
    <w:next w:val="a0"/>
    <w:link w:val="3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4">
    <w:name w:val="heading 4"/>
    <w:aliases w:val="Заголовок 4 (Приложение),Level 2 - a,H4,h4,4,ASAPHeading 4,dash,4 dash,d,a.,Ref Heading 1,rh1,Heading sql,First Subheading,Ref Heading 11,rh11,Heading sql1,H42,h41,First Subheading1,Ref Heading 12,rh12,Heading sql2,H43,h42,First Subheading2"/>
    <w:basedOn w:val="a"/>
    <w:next w:val="a0"/>
    <w:link w:val="40"/>
    <w:qFormat/>
    <w:rsid w:val="00393975"/>
    <w:pPr>
      <w:keepNext/>
      <w:keepLines/>
      <w:tabs>
        <w:tab w:val="left" w:pos="993"/>
      </w:tabs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5">
    <w:name w:val="heading 5"/>
    <w:aliases w:val="Level 3 - i,Subheading,h5,Appendix A to X,Heading 5   Appendix A to X,Second Subheading,i) ii) iii),Lev 5,5,H5-Heading 5,l5,heading5,Heading5,Roman list,Roman list1,Roman list2,Roman list3,Roman list4,Roman list5,sb,Текст раздела,H5"/>
    <w:basedOn w:val="a"/>
    <w:next w:val="a0"/>
    <w:link w:val="5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left="9073" w:firstLine="709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6">
    <w:name w:val="heading 6"/>
    <w:aliases w:val="__Подпункт,PIM 6,Gliederung6,H6,Legal Level 1.,sub-dash,sd,6,Bullet list,T1,h6,Heading6,Requirement,sub-dash1,sd1,51,sub-dash2,sd2,52,sub-dash3,sd3,53,sub-dash4,sd4,54,sub-dash5,sd5,55,sub-dash6,sd6,56,Bullet list1,Bullet list2,Bullet list11"/>
    <w:basedOn w:val="a"/>
    <w:next w:val="a0"/>
    <w:link w:val="6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aliases w:val="PIM 7,Legal Level 1.1.,L7,7,ExhibitTitle,st,Objective,heading7,req3,letter list,lettered list,letter list1,lettered list1,letter list2,lettered list2,letter list11,lettered list11,letter list3,lettered list3,letter list12,lettered list12,Lev"/>
    <w:basedOn w:val="a"/>
    <w:next w:val="a0"/>
    <w:link w:val="7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0"/>
    <w:link w:val="8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9">
    <w:name w:val="heading 9"/>
    <w:aliases w:val="Legal Level 1.1.1.1.,aaa,PIM 9,Titre 10,Заголовок 90,Заголовок 9 Гост,9,TableTitle,Cond'l Reqt.,rb,req bullet,req1,App Heading,App Heading1,App Heading2,progress,progress1,progress2,progress11,progress3,progress4,progress5,progress6"/>
    <w:basedOn w:val="a"/>
    <w:next w:val="a0"/>
    <w:link w:val="9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8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3039BE"/>
    <w:rPr>
      <w:color w:val="0000FF"/>
      <w:u w:val="single"/>
    </w:rPr>
  </w:style>
  <w:style w:type="paragraph" w:styleId="a5">
    <w:name w:val="Normal (Web)"/>
    <w:aliases w:val="footnote text,Обычный (Web),Знак3,Знак21,Обычный (веб)1,Обычный (Web)1"/>
    <w:basedOn w:val="a"/>
    <w:link w:val="a6"/>
    <w:uiPriority w:val="99"/>
    <w:qFormat/>
    <w:rsid w:val="003039BE"/>
    <w:pPr>
      <w:widowControl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3039B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qFormat/>
    <w:rsid w:val="003039BE"/>
    <w:pPr>
      <w:widowControl w:val="0"/>
      <w:shd w:val="clear" w:color="auto" w:fill="FFFFFF"/>
      <w:spacing w:after="0" w:line="274" w:lineRule="exact"/>
      <w:jc w:val="both"/>
      <w:outlineLvl w:val="1"/>
    </w:pPr>
    <w:rPr>
      <w:b/>
      <w:bCs/>
    </w:rPr>
  </w:style>
  <w:style w:type="character" w:customStyle="1" w:styleId="2105pt">
    <w:name w:val="Основной текст (2) + 10;5 pt"/>
    <w:rsid w:val="00303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Обычный (веб) Знак"/>
    <w:aliases w:val="footnote text Знак,Обычный (Web) Знак,Знак3 Знак,Знак21 Знак,Обычный (веб)1 Знак,Обычный (Web)1 Знак"/>
    <w:link w:val="a5"/>
    <w:uiPriority w:val="99"/>
    <w:locked/>
    <w:rsid w:val="0030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1 Знак,Н1 Знак,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"/>
    <w:basedOn w:val="a1"/>
    <w:link w:val="1"/>
    <w:rsid w:val="00393975"/>
    <w:rPr>
      <w:rFonts w:ascii="Times New Roman" w:eastAsia="Times New Roman" w:hAnsi="Times New Roman" w:cs="Times New Roman"/>
      <w:b/>
      <w:bCs/>
      <w:cap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,Н2 Знак"/>
    <w:basedOn w:val="a1"/>
    <w:link w:val="2"/>
    <w:rsid w:val="0039397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Char Знак,Heading 3 Char Знак,Char Char Знак,1.1.1 Многоуровневый текст Знак,Chapter Subsection Знак,OT Hdg 3 Знак,h3 Знак,l3 Знак,level3 Знак,3 Знак,summit Знак,Kop 3V Знак,Prophead 3 Знак,Titre 31 Знак,t3.T3 Знак,CT Знак"/>
    <w:basedOn w:val="a1"/>
    <w:link w:val="3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Заголовок 4 (Приложение) Знак,Level 2 - a Знак,H4 Знак,h4 Знак,4 Знак,ASAPHeading 4 Знак,dash Знак,4 dash Знак,d Знак,a. Знак,Ref Heading 1 Знак,rh1 Знак,Heading sql Знак,First Subheading Знак,Ref Heading 11 Знак,rh11 Знак,H42 Знак"/>
    <w:basedOn w:val="a1"/>
    <w:link w:val="4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50">
    <w:name w:val="Заголовок 5 Знак"/>
    <w:aliases w:val="Level 3 - i Знак,Subheading Знак,h5 Знак,Appendix A to X Знак,Heading 5   Appendix A to X Знак,Second Subheading Знак,i) ii) iii) Знак,Lev 5 Знак,5 Знак,H5-Heading 5 Знак,l5 Знак,heading5 Знак,Heading5 Знак,Roman list Знак,sb Знак"/>
    <w:basedOn w:val="a1"/>
    <w:link w:val="5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60">
    <w:name w:val="Заголовок 6 Знак"/>
    <w:aliases w:val="__Подпункт Знак,PIM 6 Знак,Gliederung6 Знак,H6 Знак,Legal Level 1. Знак,sub-dash Знак,sd Знак,6 Знак,Bullet list Знак,T1 Знак,h6 Знак,Heading6 Знак,Requirement Знак,sub-dash1 Знак,sd1 Знак,51 Знак,sub-dash2 Знак,sd2 Знак,52 Знак,53 Знак"/>
    <w:basedOn w:val="a1"/>
    <w:link w:val="6"/>
    <w:rsid w:val="0039397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aliases w:val="PIM 7 Знак,Legal Level 1.1. Знак,L7 Знак,7 Знак,ExhibitTitle Знак,st Знак,Objective Знак,heading7 Знак,req3 Знак,letter list Знак,lettered list Знак,letter list1 Знак,lettered list1 Знак,letter list2 Знак,lettered list2 Знак,Lev Знак"/>
    <w:basedOn w:val="a1"/>
    <w:link w:val="7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90">
    <w:name w:val="Заголовок 9 Знак"/>
    <w:aliases w:val="Legal Level 1.1.1.1. Знак,aaa Знак,PIM 9 Знак,Titre 10 Знак,Заголовок 90 Знак,Заголовок 9 Гост Знак,9 Знак,TableTitle Знак,Cond'l Reqt. Знак,rb Знак,req bullet Знак,req1 Знак,App Heading Знак,App Heading1 Знак,App Heading2 Знак"/>
    <w:basedOn w:val="a1"/>
    <w:link w:val="9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0">
    <w:name w:val="_Основной с красной строки"/>
    <w:basedOn w:val="a"/>
    <w:link w:val="a7"/>
    <w:qFormat/>
    <w:rsid w:val="003939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_Основной с красной строки Знак"/>
    <w:link w:val="a0"/>
    <w:rsid w:val="0039397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1">
    <w:name w:val="Заголовок №1_"/>
    <w:link w:val="12"/>
    <w:rsid w:val="00393975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93975"/>
    <w:pPr>
      <w:widowControl w:val="0"/>
      <w:shd w:val="clear" w:color="auto" w:fill="FFFFFF"/>
      <w:spacing w:after="0" w:line="341" w:lineRule="exact"/>
      <w:jc w:val="both"/>
      <w:outlineLvl w:val="0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5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552B2"/>
  </w:style>
  <w:style w:type="paragraph" w:styleId="aa">
    <w:name w:val="footer"/>
    <w:basedOn w:val="a"/>
    <w:link w:val="ab"/>
    <w:uiPriority w:val="99"/>
    <w:unhideWhenUsed/>
    <w:rsid w:val="0030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03112"/>
  </w:style>
  <w:style w:type="character" w:customStyle="1" w:styleId="41">
    <w:name w:val="Основной текст (4)_"/>
    <w:link w:val="42"/>
    <w:rsid w:val="00303112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03112"/>
    <w:pPr>
      <w:widowControl w:val="0"/>
      <w:shd w:val="clear" w:color="auto" w:fill="FFFFFF"/>
      <w:spacing w:before="60" w:after="60" w:line="0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s@mvd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2FE83B72BF24A78F77B43C03A8A96F1CA6A42C5417098F221CA9730427383CF968ED5CAB0D67D33D9D9F5DDE08o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7736CA691B262E9F086FFFB111C16C069971B55218AB5CA674F2C26F597FDAB6B14F7AB5CC935FD607DEF5FC5CC08C5BD8E10E19F6ABa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сертификат</dc:creator>
  <cp:lastModifiedBy>2</cp:lastModifiedBy>
  <cp:revision>4</cp:revision>
  <dcterms:created xsi:type="dcterms:W3CDTF">2019-10-15T05:54:00Z</dcterms:created>
  <dcterms:modified xsi:type="dcterms:W3CDTF">2019-10-15T13:54:00Z</dcterms:modified>
</cp:coreProperties>
</file>