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Pr="00A2092A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F032ED" w:rsidRPr="00A2092A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МКУ «ХЭУ АСР»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="000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Сидоркин</w:t>
      </w:r>
    </w:p>
    <w:p w:rsidR="00782D76" w:rsidRPr="00782D76" w:rsidRDefault="00782D76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Pr="00A2092A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контрактной службы МКУ «ХЭУ АСР»</w:t>
      </w:r>
    </w:p>
    <w:p w:rsidR="00F032ED" w:rsidRPr="00A2092A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Фалько</w:t>
      </w:r>
    </w:p>
    <w:p w:rsidR="00F032ED" w:rsidRPr="00A2092A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КОНТРАКТ № ____</w:t>
      </w:r>
    </w:p>
    <w:p w:rsidR="002E52B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EC42D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на оказание услуг по </w:t>
      </w:r>
      <w:r w:rsidR="002E52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передаче неисключительных прав (лицензии) на право</w:t>
      </w:r>
    </w:p>
    <w:p w:rsidR="002E52B6" w:rsidRDefault="002E52B6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</w:p>
    <w:p w:rsidR="00B64768" w:rsidRDefault="002E52B6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анализа данных из сети </w:t>
      </w:r>
      <w:bookmarkStart w:id="0" w:name="_GoBack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Интернет</w:t>
      </w:r>
      <w:bookmarkEnd w:id="0"/>
      <w:r w:rsidR="00A2475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для муниципальных нужд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 20</w:t>
      </w:r>
      <w:r w:rsidR="00DA56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 «Хозяйственно-эксплуатационное управление администрации Сургутского района» (МКУ «ХЭУ АСР»)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676" w:rsidRPr="00D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Сургутского района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заказчик»</w:t>
      </w:r>
      <w:r w:rsidRPr="00A3321F">
        <w:t xml:space="preserve"> </w:t>
      </w:r>
      <w:r w:rsidRPr="00A3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тексту контракта он же – </w:t>
      </w:r>
      <w:r w:rsidRPr="00A3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«Лицензиат» </w:t>
      </w:r>
      <w:r w:rsidRPr="00A33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3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«Сублицензиат», </w:t>
      </w:r>
      <w:r w:rsidRPr="00A3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 зависимости от типа соглашения),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распоряжения администрации Сургутского района Ханты-Мансийского автономного округа – Югры </w:t>
      </w:r>
      <w:r w:rsidRPr="00E1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«10» июля 2018 г. № 520-р,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_____________________________________________________________________________,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>(должность, Ф.И.О. руководителя Муниципального заказчика, либо Ф.И.О. лица действующего по доверенности)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___________________________________, с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(наименование предприятия, учреждения, организации и т.д.)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A3321F">
        <w:t xml:space="preserve"> </w:t>
      </w:r>
      <w:r w:rsidRPr="00A3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 же – </w:t>
      </w:r>
      <w:r w:rsidRPr="00A33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«Лицензиар»</w:t>
      </w:r>
      <w:r w:rsidRPr="00A3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A33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A00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</w:t>
      </w:r>
      <w:proofErr w:type="spellStart"/>
      <w:r w:rsidR="00BA0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ублицензиар</w:t>
      </w:r>
      <w:proofErr w:type="spellEnd"/>
      <w:r w:rsidRPr="00A33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33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зависимости от соглашения с правообладателем),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(должность, Ф.И.О. руководителя)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_____________________________________, с другой стороны,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(Устав, положение, доверенность)</w:t>
      </w:r>
    </w:p>
    <w:p w:rsidR="00390C06" w:rsidRPr="00390C06" w:rsidRDefault="00F032ED" w:rsidP="00390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стороны, в соответствии с протоколом 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№ _</w:t>
      </w:r>
      <w:r w:rsidR="002C49B2" w:rsidRPr="002C49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C49B2" w:rsidRPr="002C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r w:rsidR="002C49B2" w:rsidRPr="002C49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муниципальных нужд Сургутского района, заключили настоящий муниципальный контракт </w:t>
      </w:r>
      <w:r w:rsidR="00390C06" w:rsidRPr="00390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передаче неисключительных прав (лицензии) на право</w:t>
      </w:r>
      <w:r w:rsidR="0039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06" w:rsidRPr="0039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</w:p>
    <w:p w:rsidR="00F032ED" w:rsidRDefault="00390C06" w:rsidP="00390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из сети Интернет</w:t>
      </w:r>
      <w:r w:rsidR="00A24758" w:rsidRPr="00A24758">
        <w:t xml:space="preserve"> </w:t>
      </w:r>
      <w:r w:rsidR="00A24758" w:rsidRPr="00A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</w:t>
      </w:r>
      <w:r w:rsidR="00F0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контракт) о нижеследующем: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Pr="002C49B2" w:rsidRDefault="00F032ED" w:rsidP="005176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Pr="002C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</w:p>
    <w:p w:rsidR="00390C06" w:rsidRPr="00390C06" w:rsidRDefault="00F032ED" w:rsidP="00390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62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1.1. В соответствии с настоящим контрактом Исполнитель по заданию Муниципального заказчика обязуется оказать услуги </w:t>
      </w:r>
      <w:r w:rsidR="00390C06" w:rsidRPr="00390C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передаче неисключительных прав (лицензии) на право</w:t>
      </w:r>
    </w:p>
    <w:p w:rsidR="00F032ED" w:rsidRPr="009B6241" w:rsidRDefault="00390C06" w:rsidP="00390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0C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90C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анализа данных из сети Интернет</w:t>
      </w:r>
      <w:r w:rsidR="001302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30237" w:rsidRPr="001302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муниципальных нужд</w:t>
      </w:r>
      <w:r w:rsidR="00F032ED" w:rsidRPr="009B62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именуемые в дальнейшем услуги</w:t>
      </w:r>
      <w:r w:rsidR="00F032ED" w:rsidRPr="009B62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="00F032ED" w:rsidRPr="009B62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D72D8" w:rsidRP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рамках реализации основного мероприятия ___</w:t>
      </w:r>
      <w:r w:rsidR="001302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</w:t>
      </w:r>
      <w:r w:rsidR="002C49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</w:t>
      </w:r>
      <w:r w:rsidR="007D72D8" w:rsidRP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 подпрограммы 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</w:t>
      </w:r>
      <w:r w:rsidR="007D72D8" w:rsidRP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  <w:r w:rsidR="007D72D8" w:rsidRP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 муниципальной программы 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</w:t>
      </w:r>
      <w:r w:rsidR="007D72D8" w:rsidRPr="007D72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032ED" w:rsidRPr="009B62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Муниципальный заказчик обязуется оплатить оказанные по настоящему контракту услуги.</w:t>
      </w:r>
    </w:p>
    <w:p w:rsidR="00F032ED" w:rsidRDefault="00F032ED" w:rsidP="00F032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Идентификационный код закупки </w:t>
      </w:r>
      <w:r w:rsidR="00032DF7" w:rsidRPr="00032DF7">
        <w:rPr>
          <w:rFonts w:ascii="Times New Roman" w:eastAsia="Times New Roman" w:hAnsi="Times New Roman" w:cs="Times New Roman"/>
          <w:sz w:val="24"/>
          <w:szCs w:val="24"/>
          <w:lang w:eastAsia="ru-RU"/>
        </w:rPr>
        <w:t>213861702001986170100100410100000244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Предусмотренные контрактом услуги оказываются Исполнителем в полном соответствии с техническим заданием (Приложение 1 к контракту), ведомостью на оказание услуг (Приложение 2 к контракту).</w:t>
      </w:r>
    </w:p>
    <w:p w:rsidR="00F032ED" w:rsidRDefault="00F032ED" w:rsidP="00F032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Место оказания услуг: Ханты-Мансийский автономный округ – Югра, г. Сургут, ул. </w:t>
      </w:r>
      <w:r w:rsidR="002C4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Энгельса</w:t>
      </w:r>
      <w:r w:rsidR="007D7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</w:t>
      </w:r>
      <w:r w:rsidR="002C4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исполнении настоящего контракта не допускается перемена Исполнителя, за исключением случая,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021DD" w:rsidRPr="002C49B2" w:rsidRDefault="00F032ED" w:rsidP="008B00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2C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2C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оплаты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протоколом, составленным по результатам аукциона в электронной форме, цена контракта составляет ________________________________________________,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(указать сумму цифрами и прописью)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 %.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НДС не облагается, необходимо указать: «НДС не облагается на основании _________________________________________________________________).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(указать основание)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качества, в том числе все подлежащие к уплате налоги, сборы и другие обязательные платежи.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Источник финансирования – бюджет Сургутск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374F" w:rsidRPr="00A5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услуг по настоящему контракту производится Муниципальным заказчиком единовременным платежом по факту оказания услуг</w:t>
      </w:r>
      <w:r w:rsidR="0098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(передачи неисключительных прав)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перечисления денежных средств на счёт Исполнителя в течение 15 (пятнадцати) рабочих дней со дня п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акта </w:t>
      </w:r>
      <w:r w:rsidR="008D3B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приема-передачи неисключительных прав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3 к контракту)</w:t>
      </w:r>
      <w:r w:rsidRPr="00B658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Муниципальным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статями 34,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№ 44-ФЗ).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Цена контракта может быть снижена по соглашению сторон путем оформления дополнительного соглашения к настоящему контракту без изменения предусмотренных контрактом объема услуг, качества оказанных услуг и иных условий исполнения контракта в соответствии с подпунктом «а» пункта 1 части 1 статьи 95 № 44-ФЗ.</w:t>
      </w:r>
    </w:p>
    <w:p w:rsidR="00F032ED" w:rsidRPr="00F40985" w:rsidRDefault="00F032ED" w:rsidP="00F03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уменьшается на сумму, подлежащую уплате Муниципальным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</w:t>
      </w:r>
      <w:r w:rsidR="003D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оплатой контракта, если в соответствии с </w:t>
      </w:r>
      <w:hyperlink r:id="rId6" w:anchor="/document/10900200/entry/1" w:history="1">
        <w:r w:rsidRPr="00F40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такие налоги, сборы и иные обязательные платежи подлежат </w:t>
      </w:r>
      <w:r w:rsidRPr="00541D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уплате в бюджеты бюджетной системы Российской Федерации Муниципальным заказчиком.</w:t>
      </w:r>
    </w:p>
    <w:p w:rsidR="00F032ED" w:rsidRPr="00F40985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расторжения сторонами настоящего контракта по основаниям, предусмотренным Гражданским кодексом Российской Федерации, Муниципальный заказчик производит оплату за фактически оказанные услуги.</w:t>
      </w:r>
    </w:p>
    <w:p w:rsidR="00F032ED" w:rsidRPr="00F40985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установили, что в случае нарушения Исполнителем требований к оформлению 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счетов–фактур, установленных соответствующими нормативными правовыми актами, Муниципальный заказчик вправе вернуть Исполнителю такие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счета-фактуры для переоформления в течение 15 (пятнадцати) рабочих дней. В случае если нарушения не 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устранены оплата по таким счетам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счетам-фактурам Муниципальным заказчиком не производится.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исполнения обязательств Муниципальным заказчиком в части оплаты по настоящему контракту считается дата списания денежных средств со счета Муниципального заказчика.</w:t>
      </w:r>
    </w:p>
    <w:p w:rsidR="00F032ED" w:rsidRPr="00F40985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услуг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Срок оказания услуг</w:t>
      </w:r>
      <w:r w:rsidR="0098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(передачи неисключительных прав)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8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по 10 июня 2021 года.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 по согласованию с Муниципальным заказчиком досрочно сдать результат услуг в полном объёме по контракту. Муниципальный заказчик принимает и оплачивает оказанные услуги в соответствии с условиями контракта.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Услуги по контракту в целом считаются оказанными после подписания Муниципальным заказчиком </w:t>
      </w:r>
      <w:r w:rsidRPr="007E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приема-передачи неисключительных прав (Приложение </w:t>
      </w:r>
      <w:r w:rsidR="00982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</w:t>
      </w:r>
      <w:r w:rsidR="002E3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033" w:rsidRPr="002E3033">
        <w:t xml:space="preserve"> </w:t>
      </w:r>
      <w:r w:rsidR="002E3033" w:rsidRPr="002E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лицензионного (или </w:t>
      </w:r>
      <w:proofErr w:type="spellStart"/>
      <w:r w:rsidR="002E3033" w:rsidRPr="002E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сублицензионного</w:t>
      </w:r>
      <w:proofErr w:type="spellEnd"/>
      <w:r w:rsidR="002E3033" w:rsidRPr="002E303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договора (</w:t>
      </w:r>
      <w:r w:rsidR="002E3033" w:rsidRPr="002E3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 Исполнителем</w:t>
      </w:r>
      <w:r w:rsidR="002E3033" w:rsidRPr="002E30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контракта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целях обеспечения исполнения контракта Исполнитель предоставляет Муниципальному заказчику обеспечение исполнения контракта: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Путём предоставления банковской гарантии, выданной банком и соответствующей требованиям статьи 45 Федерального закона № 44-ФЗ.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Путём внесения денежных средств на указанный Муниципальным заказчиком счёт, на котором в соответствии с законодательством Российской Федерации учитываются операции со средствами, поступающими Муниципальному заказчику. 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Способ обеспечения исполнения контракта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гарантийных обязательств, срок действия банковской гарантии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7D72D8" w:rsidRP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proofErr w:type="gramStart"/>
      <w:r w:rsidR="007D72D8" w:rsidRP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D8" w:rsidRP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7D72D8" w:rsidRP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закупки, с которым заключается контракт, самостоятельно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Срок действия банковской гарантии должен превышать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предусмотренный контрактом срок исполнения обязательств, которые должны быть обеспечены такой банковской гарантией,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на один месяц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его изменения в </w:t>
      </w:r>
      <w:r w:rsidR="009E4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95 </w:t>
      </w:r>
      <w:r w:rsidR="007D72D8" w:rsidRPr="007D7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Контракт заключается после предоставления Исполнителем обеспечения исполнения контракта в соответствии с Федеральным законом № 44-ФЗ.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контракта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___________. </w:t>
      </w:r>
    </w:p>
    <w:p w:rsidR="00F032ED" w:rsidRPr="00003838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38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сумму цифрами и прописью)</w:t>
      </w:r>
    </w:p>
    <w:p w:rsidR="00F032ED" w:rsidRPr="002C49B2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49B2">
        <w:rPr>
          <w:rFonts w:ascii="Times New Roman" w:eastAsia="Times New Roman" w:hAnsi="Times New Roman" w:cs="Times New Roman"/>
          <w:i/>
          <w:lang w:eastAsia="ru-RU"/>
        </w:rPr>
        <w:t>Примечание: определяется в соответствии с пунктом 6 статьи 96 Федерального закона № 44-ФЗ.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ходе исполнения контракта Исполнитель вправе изменить способ обеспечения исполнения контракта и (или) предоставить Муниципальному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7.2. и 7.3. статьи 96 Федерального закона № 44-ФЗ.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предоставления нового обеспечения исполнения контракта в соответствии с частью 30 статьи 34, пунктом 9 части 1 статьи 95, частью 7 статьи 96 Федерального закона                   № 44-ФЗ возврат банковской гарантии Муниципальным заказчиком гаранту, предоставившему указанную банковскую гарантию, не осуществляется, взыскание по ней не производится.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Размер обеспечения исполнения контракта уменьшается посредством направления Муниципальным заказчиком информации об исполнении Исполнителем обязательств по оказанию услуг и стоимости исполненных обязательств для включения в соответствующий реестр контрактов, предусмотренный статьёй 103 Федерального закона № 44-ФЗ. Уменьшение размера обеспечения исполнения контракта производится пропорционально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исполненных обязательств, приёмка и оплата которых осуществлены в порядке и сроки, которые предусмотрены контрактом. В случае, если обеспечение исполнения контракта осуществляется путём предоставления банковской гарантии,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контракта, рассчитанного Муниципальным заказчиком на основании информации об исполнении контракта, размещённой в соответствующем реестре контрактов. В случае, если обеспечение исполнения контракта осуществляется путём внесения денежных средств на счёт, указанный Муниципальным заказчиком, по заявлению Исполнителя ему возвращаются Муниципальным заказчиком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исполнения контракта, рассчитанный Муниципальным заказчиком на основании информации об исполнении контракта, размещённой в соответствующем реестре контрактов.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Предусмотренное частями 7 и 7.1. статьи 96 Федерального закона № 44-ФЗ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</w:t>
      </w:r>
      <w:r w:rsidRPr="000038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предъявленных Муниципальным заказчиком в соответствии с Федеральным законом № 44-ФЗ,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приёмки Муниципальным заказчиком оказанных услуг. Такое уменьшение не допускается в случаях, определённых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закупки, с которым заключается контракт по результатам определения Исполнителя в соответствии с пунктом 1 части 1 статьи 30 Федерального закона № 44-ФЗ, освобождается от предоставления обеспечения исполнения контракта, в том числе с учётом положений статьи 37 Федерального закона № 44-ФЗ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обеспечении гарантийных обязательств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предоставления таким участником закупки информации, содержащейся в реестре контрактов, заключенных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Федеральным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Срок возврата Муниципальным заказчиком, Исполнителю денежных средств, внесённых в качестве обеспечения исполнения контракта (если такая форма обеспечения исполнения контракта применяется Исполнителем, в том числе части этих денежных средств в случае уменьшения размера обеспечения исполнения контракта в соответствии с частями 7, 7.1. и 7.2. статьи 96 Федерального закона № 44-ФЗ составляет 15 (пятнадцать) дней с даты исполнения Исполнителем обязательств, предусмотренных контрактом. 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обеспечении исполнения контракта не применяются в случае:</w:t>
      </w:r>
    </w:p>
    <w:p w:rsidR="00F032ED" w:rsidRPr="00003838" w:rsidRDefault="00F032ED" w:rsidP="00837A5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заключения контракта с участником закупки, который является казённым учреждением;</w:t>
      </w:r>
    </w:p>
    <w:p w:rsidR="00F032ED" w:rsidRPr="00003838" w:rsidRDefault="00F032ED" w:rsidP="00837A5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F032ED" w:rsidRPr="00003838" w:rsidRDefault="00F032ED" w:rsidP="00837A5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заключения бюджетным учреждением, муниципальным унитарным предприятием контракта, предметом которого является выдача банковской гарантии.</w:t>
      </w:r>
    </w:p>
    <w:p w:rsidR="00F032ED" w:rsidRPr="00003838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Если в соответствии с частью 1 статьи 96 Федерального закона № 44-ФЗ установлено требование обеспечения исполнения контракта, Исполнитель, в случае отзыва в соответствии с законодательством Российской Федерации у банка, предоставившего 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банковскую гарантию в качестве обеспечения исполнения контракта, лицензии на осуществление банковских операций, обязан предоставить Муниципальному заказчику новое обеспечение исполнения контракта не позднее одного месяца со дня надлежащего уведомления Муниципальным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7.1., 7.2. и 7.3. статьи 96 Федерального закона № 44-ФЗ. За каждый день просрочки исполнения Исполнителем обязательства, предусмотренного настоящим пунктом, начисляется пеня в размере, определённом в порядке, установленном в соответствии с подпунктом 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 пункта 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раздела 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</w:t>
      </w:r>
    </w:p>
    <w:p w:rsidR="00F032ED" w:rsidRDefault="00F032ED" w:rsidP="00F032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3838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Денежные средства, вносимые в обеспечение исполнения контракта, должны быть перечислены по следующим реквизитам: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232"/>
        <w:gridCol w:w="5124"/>
      </w:tblGrid>
      <w:tr w:rsidR="00837A53" w:rsidRPr="007C7CFE" w:rsidTr="00B57641">
        <w:trPr>
          <w:trHeight w:val="315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8617020019</w:t>
            </w:r>
          </w:p>
        </w:tc>
      </w:tr>
      <w:tr w:rsidR="00837A53" w:rsidRPr="007C7CFE" w:rsidTr="00B57641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861701001</w:t>
            </w:r>
          </w:p>
        </w:tc>
      </w:tr>
      <w:tr w:rsidR="00837A53" w:rsidRPr="007C7CFE" w:rsidTr="00B57641">
        <w:trPr>
          <w:trHeight w:val="258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A53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«ХЭУ АСР» л/с 05873014340)</w:t>
            </w:r>
          </w:p>
        </w:tc>
      </w:tr>
      <w:tr w:rsidR="00837A53" w:rsidRPr="007C7CFE" w:rsidTr="00B57641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71826155</w:t>
            </w:r>
          </w:p>
        </w:tc>
      </w:tr>
      <w:tr w:rsidR="00837A53" w:rsidRPr="007C7CFE" w:rsidTr="00B57641">
        <w:trPr>
          <w:trHeight w:val="315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счёт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03232643718260008700</w:t>
            </w:r>
          </w:p>
        </w:tc>
      </w:tr>
      <w:tr w:rsidR="00837A53" w:rsidRPr="007C7CFE" w:rsidTr="00B57641">
        <w:trPr>
          <w:trHeight w:val="315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007162163</w:t>
            </w:r>
          </w:p>
        </w:tc>
      </w:tr>
      <w:tr w:rsidR="00837A53" w:rsidRPr="007C7CFE" w:rsidTr="00B57641">
        <w:trPr>
          <w:trHeight w:val="315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(единый казначейский счет)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40102810245370000007</w:t>
            </w:r>
          </w:p>
        </w:tc>
      </w:tr>
      <w:tr w:rsidR="00837A53" w:rsidRPr="007C7CFE" w:rsidTr="00B57641">
        <w:trPr>
          <w:trHeight w:val="907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lang w:eastAsia="ru-RU"/>
              </w:rPr>
              <w:t>РКЦ ХАНТЫ-МАНСИЙК//УФК по Ханты-Мансийскому автономному округу-Югре г. Ханты-Мансийск</w:t>
            </w:r>
          </w:p>
        </w:tc>
      </w:tr>
      <w:tr w:rsidR="00837A53" w:rsidRPr="007C7CFE" w:rsidTr="00B57641">
        <w:trPr>
          <w:trHeight w:val="1005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указать:</w:t>
            </w:r>
          </w:p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7C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контракта по аукциону №_________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53" w:rsidRPr="007C7CFE" w:rsidRDefault="00837A53" w:rsidP="00B57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Оказать услуги в соответствии с условиями настоящего контракта надлежащего качества в объёме и сроки, указанные в настоящем контракте.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9F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закрепленного за Муниципальным заказчиком аккаунт-менеджера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согласованные с Муниципальным заказчиком сроки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езвозмездно устранять (исправлять) по требованию 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недостатки, если в процессе оказания услуг Исполнитель допустил отступление от условий контракта, ухудшившие качество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Отменить не вступившее в силу решение об одностороннем отказе от исполнения контракта, если в течение 10 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Нести риск случайной гибели или случайного повреждения результата услуг до их приёмки Муниципальным заказчиком.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разглашать третьим лицам информацию (сведения), полученные в результате оказания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E65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ведения переговоров и оформления документов по исполнению настоящего контракта назначить своего ответственного представителя в лице – ___________________________________________, тел. ___________________.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Исполнитель имеет право: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Требовать оплаты услуг в порядке и сроки, предусмотренные контрактом, 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надлежащего исполнения своих обязательств по настоящему контракту.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способы оказания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Муниципальный заказчик обязан: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Обеспечить приёмку оказанных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Оплатить оказанные услуги в порядке, указанном в п. 2.4. настоящего контракта.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Предоставить Исполнителю информацию, необходимую для оказания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5.3.5. Отменить не вступившее в силу решение об одностороннем отказе от исполнения контракта, если в течение 10 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Муниципальному заказчику компенсированы затраты на проведение экспертизы в соответствии с пунктом 5.4.3. настоящего контракта.    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Муниципальный заказчик имеет право: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Осуществлять общий контроль за исполнением контракта.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контракта. В случае проведения такой экспертизы решение об одностороннем отказе от исполнения контракта может быть принято Муниципальным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контракта, послужившие основанием для одностороннего отказа Муниципального заказчика от исполнения контракта.</w:t>
      </w:r>
    </w:p>
    <w:p w:rsidR="00F032ED" w:rsidRDefault="00F032ED" w:rsidP="00F032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0CFE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0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соглашению сторон, увеличить или уменьшить предусмотренные контрактом объем услуг не более чем на десять процентов, в соответствии с подпунктом «б» пункта 1 части 1 статьи 95 № 44-ФЗ.</w:t>
      </w:r>
    </w:p>
    <w:p w:rsidR="00F032ED" w:rsidRDefault="00F032ED" w:rsidP="00F032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спорные вопросы по исполнению настоящего контракта в претензионном и судебном порядке. </w:t>
      </w:r>
    </w:p>
    <w:p w:rsidR="00F032ED" w:rsidRDefault="00F032ED" w:rsidP="00F032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Приёмка услуг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должен уведомить Муниципального заказчика в письменной форме, за 3 (три) дня до даты предполагаемой приёмки оказанных услуг.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Приёмка оказанных услуг на соответствие их объёму и иным условиям контракта, осуществляется Муниципальным заказчиком</w:t>
      </w:r>
      <w:r w:rsidR="009F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главного распорядителя бюджетных средств, в ведении которого находится Муниципальный заказчик,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фактического исполнения обязательств Исполнителем по контракту, в сроки не превышающие общий срок, установленный пунктом 2.4. контракта (15 рабочих дней) для оплаты услуг Исполнителя по настоящему контракту.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Результаты приёмки оказанных услуг отражаются в акте п</w:t>
      </w:r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риема-передачи неисключительных прав (Приложение </w:t>
      </w:r>
      <w:r w:rsidR="009F2D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контракту), подписанного сторонами, </w:t>
      </w:r>
      <w:proofErr w:type="spellStart"/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лицензинно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proofErr w:type="spellEnd"/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spellStart"/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сублицензионно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proofErr w:type="spellEnd"/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договор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Pr="00864D4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предоставляется Исполнителем</w:t>
      </w:r>
      <w:r w:rsidRPr="006C51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приёмке оказанных услуг на соответствие их требованиям к объёму и иным требованиям, установленным настоящим контрактом, Муниципальный заказчик обязан провести экспертизу данных услуг в соответствии с положениями № 44-ФЗ.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По решению Муниципального заказчика для приёмки оказанных услуг, может создаваться приёмочная комиссия, которая состоит не менее чем из 5 (пяти) человек.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Приёмка оказанных услуг осуществляется в порядке и в сроки, установленные настоящим контрактом, и оформляется актом </w:t>
      </w:r>
      <w:r w:rsidR="004754AB" w:rsidRP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неисключительных прав</w:t>
      </w:r>
      <w:r w:rsid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</w:t>
      </w:r>
      <w:r w:rsidR="004754AB" w:rsidRPr="004754AB">
        <w:t xml:space="preserve"> </w:t>
      </w:r>
      <w:r w:rsidR="004754AB" w:rsidRP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754AB" w:rsidRP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</w:t>
      </w:r>
      <w:r w:rsid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754AB" w:rsidRPr="0047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в ведении которого находится Муниципальный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подписывается Муниципальным заказчиком (в случае создания приёмочной комиссии подписывается всеми членами приёмочной комиссии и утверждается Муниципальным заказчиком), либо Исполнителю в те же сроки Муниципальным заказчиком направляется в письменной форме мотивированный отказ от подписания такого акта. В случае привлечения Муниципальным заказчиком для проведения указанной экспертизы экспертов, экспертных организаций при принятии решения о приёмке или об отказе в приёмке оказанных услуг приёмочная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комиссия должна учитывать отраженные в заключении по результатам указанной экспертизы предложения экспертов, экспертных организаций, привлечённых для её проведения.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Муниципальный заказчик вправе не отказывать в приёмке оказанных услуг в случае выявления несоответствия этих услуг условиям контракта, если выявленное несоответствие не препятствует приёмке этих услуг и устранено Исполнителем.</w:t>
      </w:r>
    </w:p>
    <w:p w:rsidR="00436CEE" w:rsidRDefault="00436CEE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обязательств, предусмотренных настоящим контрактом в соответствии с законодательством Российской Федерации.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В случае просрочки исполнения Муниципальным заказчиком обязательств, предусмотренных контрактом, а также в иных случаях неисполнения или ненадлежащего исполнения Муниципальным заказчиком обязательств, предусмотренных контрактом, Исполнитель вправе потребовать уплаты неустоек (штрафов, пеней).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.2.2. Штрафы начисляются за ненадлежащее исполнение Муниципальным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F032ED" w:rsidRPr="00712A76" w:rsidRDefault="00F032ED" w:rsidP="00FF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каждый факт неисполнения Муниципальным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_____________ (________) рублей _____ копеек. </w:t>
      </w:r>
    </w:p>
    <w:p w:rsidR="00F032ED" w:rsidRPr="00864D4F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1000 рублей, если цена контракта не превышает 3 млн. рублей (включительно).</w:t>
      </w:r>
    </w:p>
    <w:p w:rsidR="00F032ED" w:rsidRPr="00864D4F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(Определяется в порядке, установленном Постановлением Правительства Российской Федерации от 30.08.2017 № 1042).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.2.3 Общая сумма начисленных штрафов за ненадлежащее исполнение Муниципальным заказчиком обязательств, предусмотренных контрактом, не может превышать цену контракта.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Муниципальный заказчик направляет Исполнителю требование об уплате неустоек (штрафов, пеней).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.3.1. 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Центрального банка Российской Федерации от цены контракта</w:t>
      </w:r>
      <w:r w:rsidR="008C3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(отдельного этапа исполнения контракта)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уменьшенной на сумму, пропорциональную объему обязательств, предусмотренных контрактом</w:t>
      </w:r>
      <w:r w:rsidR="008C3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(соответствующим отдельным этапом исполнения контракта)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.3.2.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</w:t>
      </w:r>
      <w:r w:rsidR="00FF71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F7188" w:rsidRPr="00FF71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F032ED" w:rsidRPr="00712A76" w:rsidRDefault="00F032ED" w:rsidP="00FF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каждый факт неисполнения или ненадлежащего исполнения Исполнителем обязательств, предусмотренных контрактом, заключенным по результатам определения Исполнителя в соответствии с пунктом 1 части 1 статьи 30 №44-ФЗ,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контракта, но не более 5 тыс. рублей и не менее 1 тыс. рублей: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составляет _______________ (___________) рублей ______ копеек </w:t>
      </w:r>
    </w:p>
    <w:p w:rsidR="00F032ED" w:rsidRPr="00864D4F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(определяется в порядке, установленном Постановлением Правительства Российской Федерации от 30.08.2017 № 1042).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_____________ (________) рублей _____ копеек. </w:t>
      </w:r>
    </w:p>
    <w:p w:rsidR="00F032ED" w:rsidRPr="00864D4F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1000 рублей, если цена контракта не превышает 3 млн. рублей.</w:t>
      </w:r>
    </w:p>
    <w:p w:rsidR="00F032ED" w:rsidRPr="00864D4F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(Определяется в порядке, установленном Постановлением Правительства Российской Федерации от 30.08.2017 № 1042).</w:t>
      </w:r>
    </w:p>
    <w:p w:rsidR="00F032ED" w:rsidRPr="00712A76" w:rsidRDefault="00F032ED" w:rsidP="00B6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обязательствам Исполнителя, которые не имеют стоимостного выражения относятся: не предоставление Исполнителем акта </w:t>
      </w:r>
      <w:r w:rsidR="00B65571" w:rsidRPr="00B65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приема-передачи неисключительных прав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счета (счета–фактуры</w:t>
      </w:r>
      <w:r w:rsidR="00B65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предоставлении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и иных документов, предусмотренных </w:t>
      </w:r>
      <w:r w:rsidR="00B65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контрактом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.3.3.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F032ED" w:rsidRPr="00712A7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В случае если законодательством Российской Федерации установлен иной порядок начисления штрафа, чем порядок, предусмотренный Правилами определения размера штрафа, начисляемого в случае ненадлежащего исполнения заказчиком, 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.6. Уплата штрафа и пени не освобождает стороны от исполнения обязательств по настоящему контракту.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32ED" w:rsidRPr="00F16C7A" w:rsidRDefault="00F032ED" w:rsidP="00F032E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Ни одна сторона не несет ответственности перед другой стороной за невыполнение обязательств, обусловленное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муниципальному контракту.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Если обстоятельства непреодолимой силы или их последствия будут длиться более трех календарных месяцев, то стороны обязаны обсудить меры, которые необходимо принять для продолжения оказания услуг. В случае не достижения соглашения между сторонами по данному вопросу, каждая из сторон имеет право расторгнуть настоящий муниципальный контракт в порядке, предусмотренном действующим законодательством Российской Федерации.</w:t>
      </w:r>
    </w:p>
    <w:p w:rsidR="00980123" w:rsidRDefault="00EE636B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032ED" w:rsidRDefault="00F032ED" w:rsidP="00F032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Споры и разногласия, возникающие из настоящего контракта или в связи с ним,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будут  решаться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сторонами  путем направления претензии. Срок рассмотрения претензии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календарных дней. В случае не достижения соглашения споры и разногласия подлежат разрешению в арбитражном суде Ханты-Мансийского автономного округа - Югры в порядке в соответствии с действующим законодательством Российской Федерации и настоящим контрактом.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изменения и расторжения контракта</w:t>
      </w:r>
    </w:p>
    <w:p w:rsidR="00F032ED" w:rsidRPr="00396DB2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DB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изменении и расторжении настоящего контракта для достижения целей осуществления закупки Муниципальный заказчик и Исполнитель взаимодействуют в соответствии с гражданским законодательством и Федеральным законом от 05.04.2013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F032ED" w:rsidRPr="00396DB2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D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и подписаны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</w:t>
      </w:r>
      <w:r w:rsidRPr="00396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Pr="002F481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F032ED" w:rsidRPr="002F481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снижении цены контракта без изменения предусмотренных настоящим контрактом объема услуг, качества оказываемых услуг и иных условий настоящего контракта 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контракта);</w:t>
      </w:r>
    </w:p>
    <w:p w:rsidR="00F032ED" w:rsidRPr="002F4816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если по предложению Муниципального заказчика увеличиваются предусмотренные настоящим контрактом объём услуги не более чем на 10 % или уменьшаются предусмотренные настоящим контрактом объем оказываемой услуги не более чем на 10 %.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услуги, но не более чем на 10 % цены контракта. При уменьшении предусмотренных настоящим контрактом объёма услуги стороны контракта обязаны уменьшить цену контракта исходя из цены единицы услуги 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В случаях, предусмотренных пунктом 6 статьи 161 Бюджетного кодекса Российской Федерации, при уменьшении ранее доведенных до Муниципального заказчика как получателя бюджетных средств лимитов бюджетных обязательств. При этом Муниципальный заказчик в ходе исполнения контракта обеспечивает согласование (в соответствии с Постановлением Правительства Российской Федерации от 28.11.2013           № 1090 «Об утверждении методики сокращения количества товаров, объемов работ или услуг при уменьшении цены контракта».) новых условий контракта, в том числе цены и (или) сроков исполнения контракта и (или) объёма услуги, предусмотренных контрактом.</w:t>
      </w:r>
    </w:p>
    <w:p w:rsidR="000402AC" w:rsidRPr="00D0036C" w:rsidRDefault="000402AC" w:rsidP="00EE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контракта допускается: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по соглашению сторон, путём заключения соглашения о расторжении контракта. При этом сторона, являющаяся инициатором расторжения контракта, обязана уведомить другую сторону о намерении расторгнуть настоящий контракт не менее чем за 10 дней до предполагаемой даты расторжения.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решению суда. 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случае одностороннего отказа стороны контракта от исполнения настоящего контракта в соответствии с гражданским законодательством.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02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Муниципального заказчика об одностороннем отказе от исполнения настоящего контракта не позднее чем в течение 3 рабочих дней с даты принятия указанного решения, размещается в единой информационной системе 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Исполнителю по почте заказным письмом с уведомлением о вручении по адресу Исполнителя, указанному в настоящем контракте, а также телеграммой, либо посредством факсимильной связи, либо по адресу электронной почты, либо 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иных средств связи и доставки, обеспечивающих фиксирование такого уведомления и получение Муниципальным заказчиком подтверждения о его вручении Исполнителю. Выполнение Муниципальным заказчиком данных требований считается надлежащим уведомлением Исполнителя об одностороннем отказе от исполнения настоящего контракта. Датой такого надлежащего уведомления признается дата получения Муниципальным заказчиком подтверждения о вручении Исполнителю указанного уведомления либо дата получения Муниципальным заказчиком информации об отсутствии Исполнителя по его адресу, указанному в настоящем контракте. При невозможности получения, указанных подтверждения либо информации датой такого надлежащего уведомления, признается дата по истечении 30 дней с даты размещения решения Муниципального заказчика об одностороннем отказе от исполнения настоящего контракта в единой информационной системе.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Муниципального заказчика об одностороннем отказе от исполнения настоящего контракта вступает в силу и настоящий контракт считается расторгнутым через 10 дней с даты надлежащего уведомления Муниципальным заказчиком Исполнителя об одностороннем отказе от исполнения настоящего контракта.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Исполнителя об одностороннем отказе от исполнения настоящего контракта не позднее чем в течение 3 рабочих дней, с даты принятия такого решения, направляется Муниципальному заказчику по почте заказным письмом с уведомлением о вручении по адресу Муниципального заказчика, указанному в настоящем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Исполнителем подтверждения о его вручении Муниципальному заказчику. Выполнение Исполнителем данных требований считается надлежащим уведомлением Муниципального заказчика об одностороннем отказе от исполнения настоящего контракта. Датой такого надлежащего уведомления признается дата получения Исполнителем подтверждения о вручении Муниципальному заказчику указанного уведомления.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Исполнителя об одностороннем отказе от исполнения настоящего контракта вступает в силу и настоящий контракт считается расторгнутым через 10 дней с даты надлежащего уведомления Исполнителем Муниципального заказчика об одностороннем отказе от исполнения настоящего контракта.</w:t>
      </w:r>
    </w:p>
    <w:p w:rsidR="000402AC" w:rsidRPr="00D0036C" w:rsidRDefault="000402AC" w:rsidP="000402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расторжении настоящего контракта в связи с односторонним отказом стороны контракта от исполнения настоящего контракта другая сторона контракта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</w:t>
      </w:r>
      <w:r w:rsidRPr="00C1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настоящего контракта</w:t>
      </w:r>
      <w:r w:rsidRPr="00D0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ED" w:rsidRDefault="000402AC" w:rsidP="0004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D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E70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расторжении контракта по соглашению сторон, контракт считается расторгнутым с момента подписания соглашения о расторжении.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Настоящий контракт вступает в силу со дня подписания его сторонами </w:t>
      </w:r>
      <w:r w:rsidR="0043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числе, электронной подписью)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по «31» декабря 202</w:t>
      </w:r>
      <w:r w:rsidR="00BA38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освобождает стороны от выполнения в полном объёме своих обязательств по настоящему контракту и от ответственности за нарушение его условий, если таковые имели место в период исполнения настоящего контракта.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случае, если настоящим контрактом предусмотрено обеспечение исполнения контракта, настоящий контракт заключается после предоставления Исполнителем, обеспечения исполнения контракта в соответствии с пунктом </w:t>
      </w:r>
      <w:r w:rsidR="002B7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контракта.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Исполнителем обеспечения исполнения контракта в срок, установленный для заключения контракта, настоящий контракт не заключается.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Дополнительные соглашения и иные сопутствующие документы, переданные посредством факсимильной связи, электронной связи, а также ксерокопия документа, имеют юридическую силу и признаются сторонами, при этом стороны обязаны направить друг другу оригиналы таких документов.</w:t>
      </w:r>
    </w:p>
    <w:p w:rsidR="00F032ED" w:rsidRPr="003C646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6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контракт составлен в форме электронного документа, подписанного электронными подписями сторон.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при заключении дополнительных соглашений, оформлении документов о приемке оказанных услуг может быть использована электронная подпись.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Сторона обязана незамедлительно (но не позднее 3 (трёх) рабочих дней) информировать другую сторону об изменении финансовых реквизитов, местонахождения (юридического адреса) и почтового адреса, учредительных документов, о ликвидации или реорганизации с представлением Муниципальному заказчику надлежаще оформленных документов, подтверждающие факт изменений. Сторона, не уведомившая надлежащим образом другую сторону об изменении указанных в настоящем контракте адресов и (или) банковских реквизитов, несет все неблагоприятные последствия, которые могут возникнуть в результате не уведомления/ненадлежащего уведомления другой стороны.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Следующие приложения являются неотъемлемой частью настоящего контракта: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(Приложение 1 к контракту);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на оказание услуг (Приложение 2 к контракту);</w:t>
      </w:r>
    </w:p>
    <w:p w:rsidR="00F032ED" w:rsidRPr="006C51AC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неисключительных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  <w:r w:rsidRPr="006C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BA3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контракту).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Вопросы, не урегулированные настоящим контрактом, разрешаются по соглашению сторон в соответствии с действующим законодательством Российской Федерации.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Ответственным представителем Муниципального заказчика по ведению переговоров, оперативному решению вопросов по оказанию услуг по контракту, исполнению контракта является: __________________________________________________ тел. _______________.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банковские реквизиты сторон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5266"/>
        <w:gridCol w:w="4679"/>
      </w:tblGrid>
      <w:tr w:rsidR="00F032ED" w:rsidTr="00524617">
        <w:tc>
          <w:tcPr>
            <w:tcW w:w="5268" w:type="dxa"/>
            <w:hideMark/>
          </w:tcPr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заказчик: </w:t>
            </w:r>
          </w:p>
          <w:p w:rsidR="00F032ED" w:rsidRDefault="00F032ED" w:rsidP="00524617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«ХЭУ АСР»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 628433, Российская Федерация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Тюменская область, 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городское поселение Белый Яр, ул. Маяковского д. 1 а.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628400, Тюменская область,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Югра, 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ул. Энгельса, 10.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1048603851889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71826155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8617020019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861701001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(МКУ "ХЭУ АСР")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03231643718260008700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Единый казначейский счет 40102810245370000007</w:t>
            </w:r>
          </w:p>
          <w:p w:rsidR="00BA38A9" w:rsidRP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007162163</w:t>
            </w:r>
          </w:p>
          <w:p w:rsid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РКЦ ХАНТЫ-МАНСИЙК//</w:t>
            </w:r>
          </w:p>
          <w:p w:rsidR="00BA38A9" w:rsidRDefault="00BA38A9" w:rsidP="00BA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A9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Ханты-Мансийскому автономному округу-Югре г. Ханты-Мансийск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(3462) 526-526, 526-514, 526-000</w:t>
            </w:r>
          </w:p>
        </w:tc>
        <w:tc>
          <w:tcPr>
            <w:tcW w:w="4680" w:type="dxa"/>
          </w:tcPr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2ED" w:rsidTr="00524617">
        <w:tc>
          <w:tcPr>
            <w:tcW w:w="5268" w:type="dxa"/>
          </w:tcPr>
          <w:p w:rsidR="00F032ED" w:rsidRPr="00476B7C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Heu</w:t>
            </w:r>
            <w:proofErr w:type="spellEnd"/>
            <w:r w:rsidRPr="00476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admsr</w:t>
            </w:r>
            <w:proofErr w:type="spellEnd"/>
            <w:r w:rsidRPr="00476B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032ED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F032ED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____________________/_______________/</w:t>
            </w:r>
          </w:p>
          <w:p w:rsidR="00F032ED" w:rsidRDefault="00F032ED" w:rsidP="0052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__________________/______________/ </w:t>
            </w:r>
          </w:p>
          <w:p w:rsidR="00F032ED" w:rsidRDefault="00F032ED" w:rsidP="0052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  <w:r w:rsidRPr="00AD4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 печати)</w:t>
            </w:r>
          </w:p>
        </w:tc>
      </w:tr>
    </w:tbl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0E" w:rsidRDefault="00125F0E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88" w:rsidRDefault="00732D88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88" w:rsidRDefault="00732D88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88" w:rsidRDefault="00732D88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88" w:rsidRDefault="00732D88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A" w:rsidRDefault="00AB43B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2D88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контракту</w:t>
      </w:r>
      <w:r w:rsid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передаче неисключительных прав (лицензии) на право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из сети Интернет</w:t>
      </w:r>
      <w:r w:rsidR="00A24758" w:rsidRPr="00A24758">
        <w:t xml:space="preserve"> </w:t>
      </w:r>
      <w:r w:rsidR="00A24758" w:rsidRPr="00A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</w:t>
      </w:r>
    </w:p>
    <w:p w:rsidR="00F032ED" w:rsidRDefault="00F032ED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</w:t>
      </w:r>
      <w:r w:rsidR="00732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EE" w:rsidRPr="002B76C2" w:rsidRDefault="00436CEE" w:rsidP="00436CEE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6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  <w:r w:rsidR="00782D76" w:rsidRPr="002B76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*</w:t>
      </w:r>
    </w:p>
    <w:p w:rsidR="00782D76" w:rsidRPr="002B76C2" w:rsidRDefault="00782D76" w:rsidP="00436CEE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6CEE" w:rsidRDefault="00436CEE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82D76" w:rsidRPr="00436CEE" w:rsidRDefault="00782D76" w:rsidP="00436C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36CEE" w:rsidRDefault="00436CEE" w:rsidP="00F0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95" w:rsidRDefault="00417295" w:rsidP="00F0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заказчик                                                    Исполнитель </w:t>
      </w:r>
    </w:p>
    <w:p w:rsidR="00F032ED" w:rsidRDefault="00F032ED" w:rsidP="00F032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F032ED" w:rsidRDefault="00F032ED" w:rsidP="00F032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F032ED" w:rsidRDefault="00F032ED" w:rsidP="00F032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_____________/______________/                                        _____________/_____________/</w:t>
      </w:r>
    </w:p>
    <w:p w:rsidR="00F032ED" w:rsidRDefault="00F032ED" w:rsidP="00F032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М.П.</w:t>
      </w:r>
    </w:p>
    <w:p w:rsidR="00782D76" w:rsidRDefault="00782D76" w:rsidP="00417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Default="00782D76" w:rsidP="00417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Default="00782D76" w:rsidP="00417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Default="00782D76" w:rsidP="00417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Default="00782D76" w:rsidP="00417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76" w:rsidRDefault="00782D76" w:rsidP="00782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Заполняется по результатам проведения электронного аукциона в электронной форме.</w:t>
      </w:r>
    </w:p>
    <w:p w:rsidR="00AB43BA" w:rsidRDefault="00AB43BA" w:rsidP="00732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контракту 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передаче неисключительных прав (лицензии) на право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из сети Интернет</w:t>
      </w:r>
      <w:r w:rsidR="00A24758" w:rsidRPr="00A24758">
        <w:t xml:space="preserve"> </w:t>
      </w:r>
      <w:r w:rsidR="00A24758" w:rsidRPr="00A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</w:t>
      </w:r>
    </w:p>
    <w:p w:rsidR="00F032ED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202_ г. № ___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A" w:rsidRDefault="00AB43BA" w:rsidP="00F03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Pr="002B76C2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Ведомость*</w:t>
      </w:r>
      <w:r w:rsidR="007819E4" w:rsidRPr="002B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523"/>
        <w:gridCol w:w="1209"/>
        <w:gridCol w:w="977"/>
        <w:gridCol w:w="1439"/>
        <w:gridCol w:w="1424"/>
      </w:tblGrid>
      <w:tr w:rsidR="00F032ED" w:rsidTr="0052461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tabs>
                <w:tab w:val="left" w:pos="70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  <w:p w:rsidR="00F032ED" w:rsidRDefault="00F032ED" w:rsidP="00524617">
            <w:pPr>
              <w:tabs>
                <w:tab w:val="left" w:pos="70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ED" w:rsidRDefault="00F032ED" w:rsidP="00524617">
            <w:pPr>
              <w:tabs>
                <w:tab w:val="left" w:pos="70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032ED" w:rsidRDefault="00F032ED" w:rsidP="00524617">
            <w:pPr>
              <w:tabs>
                <w:tab w:val="left" w:pos="70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</w:tr>
      <w:tr w:rsidR="00F032ED" w:rsidTr="00524617">
        <w:trPr>
          <w:trHeight w:val="19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ED" w:rsidRDefault="00F032ED" w:rsidP="0052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ED" w:rsidTr="00524617"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ED" w:rsidRDefault="00F032ED" w:rsidP="00524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ED" w:rsidRDefault="00F032ED" w:rsidP="0052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2ED" w:rsidRDefault="00F032ED" w:rsidP="00F032ED">
      <w:pPr>
        <w:rPr>
          <w:rFonts w:ascii="Times New Roman" w:hAnsi="Times New Roman"/>
          <w:sz w:val="24"/>
          <w:szCs w:val="24"/>
        </w:rPr>
      </w:pPr>
    </w:p>
    <w:p w:rsidR="00F032ED" w:rsidRDefault="00F032ED" w:rsidP="00F03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_______________________________________________________________________</w:t>
      </w:r>
    </w:p>
    <w:p w:rsidR="00F032ED" w:rsidRDefault="00F032ED" w:rsidP="00F03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заказчик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Исполнитель</w:t>
      </w: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______________/_______________/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______________/_______________/</w:t>
      </w: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032ED" w:rsidRDefault="00F032ED" w:rsidP="00781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7819E4" w:rsidRPr="00781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по результатам проведения электронного аукциона в электронной</w:t>
      </w:r>
      <w:r w:rsidR="007819E4" w:rsidRPr="00781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форме.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контракту 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передаче неисключительных прав (лицензии) на право</w:t>
      </w:r>
    </w:p>
    <w:p w:rsidR="00AB43BA" w:rsidRP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</w:p>
    <w:p w:rsidR="00AB43BA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из сети Интернет</w:t>
      </w:r>
      <w:r w:rsidR="00A24758" w:rsidRPr="00A24758">
        <w:t xml:space="preserve"> </w:t>
      </w:r>
      <w:r w:rsidR="00A24758" w:rsidRPr="00A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</w:t>
      </w:r>
    </w:p>
    <w:p w:rsidR="00F032ED" w:rsidRDefault="00AB43BA" w:rsidP="00AB4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202_ г. № ___</w:t>
      </w:r>
    </w:p>
    <w:p w:rsidR="00732D88" w:rsidRDefault="00732D88" w:rsidP="00F032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732D88" w:rsidRDefault="00732D88" w:rsidP="00F032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F032ED" w:rsidRPr="002B76C2" w:rsidRDefault="00F032ED" w:rsidP="00F032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eastAsia="ru-RU"/>
        </w:rPr>
        <w:t>***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приема–передачи неисключительных прав (форма)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Сургут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___»_________ 20___г.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_________________________________________________, именуемое в дальнейшем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заказчика)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заказчик» (он же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Лицензиат» или «Сублицензиат»,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указывается </w:t>
      </w:r>
      <w:r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zh-CN" w:bidi="hi-IN"/>
        </w:rPr>
        <w:t>в зависимости от типа соглашения)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_________________________________________, действующего на основании ____________________________________, с одной стороны и _______________________________________________________ именуемое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Поставщика)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(он же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Лицензиар»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32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Сублицензиар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зависимости от соглашения                 </w:t>
      </w:r>
      <w:r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zh-CN" w:bidi="hi-IN"/>
        </w:rPr>
        <w:t xml:space="preserve"> с правообладателем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___________________________________________________, действующего на основании _________________________________, с другой стороны, составили настоящий акт по результатам экспертизы, проведенной «___» _______20 __ г., _____________________________________________________________________________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(указывается кем проводилась экспертиза)</w:t>
      </w:r>
    </w:p>
    <w:p w:rsidR="00F032ED" w:rsidRDefault="00F032ED" w:rsidP="00145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муниципального контракта от «___» ____________ 20 __ г. № _____ </w:t>
      </w:r>
      <w:r w:rsidR="00417295" w:rsidRPr="0041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53B8" w:rsidRP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неисключительных прав (лицензии) на право</w:t>
      </w:r>
      <w:r w:rsid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B8" w:rsidRP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системой автоматизированного сбора и лингвистического</w:t>
      </w:r>
      <w:r w:rsid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B8" w:rsidRPr="0014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из сети Интернет</w:t>
      </w:r>
      <w:r w:rsidRPr="0033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758" w:rsidRPr="00A2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переданы, а Муниципальным заказчиком получен</w:t>
      </w:r>
      <w:r w:rsidR="00732D88">
        <w:rPr>
          <w:rFonts w:ascii="Times New Roman" w:eastAsia="Times New Roman" w:hAnsi="Times New Roman" w:cs="Times New Roman"/>
          <w:sz w:val="24"/>
          <w:szCs w:val="24"/>
          <w:lang w:eastAsia="ru-RU"/>
        </w:rPr>
        <w:t>ы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</w:t>
      </w:r>
      <w:r w:rsidR="004172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(наименование товара (неисключительных прав))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___________________________________________ рублей.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(сумма цифрами и прописью)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______________________ с момента установки Муниципальным заказчиком.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ассортименту, количеству на момент подписания настоящего документа Муниципальный заказчик не имеет.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передано товара (неисключительных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прав)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_(кол-во.)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товара (неисключительных прав) произведена в полном объеме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 полном объеме)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стороны не имеют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(имеют)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друг к другу.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предоставлением товара (неисключительных прав) Исполнителем предоставлена следующая документация __________________________________________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 составлен в двух экземплярах для каждой стороны.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                                                                  Исполнитель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__________________ </w:t>
      </w:r>
    </w:p>
    <w:p w:rsidR="00F032ED" w:rsidRDefault="00F032ED" w:rsidP="00F0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М.П.</w:t>
      </w:r>
    </w:p>
    <w:p w:rsidR="00524617" w:rsidRDefault="00F032ED" w:rsidP="00125F0E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i/>
          <w:iCs/>
          <w:lang w:eastAsia="ru-RU"/>
        </w:rPr>
        <w:t>*</w:t>
      </w:r>
      <w:r w:rsidR="007819E4" w:rsidRPr="007819E4">
        <w:rPr>
          <w:rFonts w:ascii="Times New Roman" w:eastAsia="Times New Roman" w:hAnsi="Times New Roman" w:cs="Times New Roman"/>
          <w:i/>
          <w:iCs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*Акт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приема–передачи неисключительных прав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заполняется согласно форме и подписывается сторонами после приемки неисключительных прав.</w:t>
      </w:r>
    </w:p>
    <w:sectPr w:rsidR="00524617" w:rsidSect="005246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-3"/>
        <w:sz w:val="22"/>
        <w:szCs w:val="22"/>
      </w:rPr>
    </w:lvl>
  </w:abstractNum>
  <w:abstractNum w:abstractNumId="1" w15:restartNumberingAfterBreak="0">
    <w:nsid w:val="03772323"/>
    <w:multiLevelType w:val="hybridMultilevel"/>
    <w:tmpl w:val="CBF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899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268E"/>
    <w:multiLevelType w:val="multilevel"/>
    <w:tmpl w:val="B4E4276A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b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76B54CA"/>
    <w:multiLevelType w:val="multilevel"/>
    <w:tmpl w:val="A7E4750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455CB"/>
    <w:multiLevelType w:val="multilevel"/>
    <w:tmpl w:val="5A500D9A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960C72"/>
    <w:multiLevelType w:val="hybridMultilevel"/>
    <w:tmpl w:val="5112A69E"/>
    <w:lvl w:ilvl="0" w:tplc="EBB87F4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17B"/>
    <w:multiLevelType w:val="hybridMultilevel"/>
    <w:tmpl w:val="BCBAE28C"/>
    <w:lvl w:ilvl="0" w:tplc="0419000F">
      <w:start w:val="1"/>
      <w:numFmt w:val="decimal"/>
      <w:lvlText w:val="%1."/>
      <w:lvlJc w:val="left"/>
      <w:pPr>
        <w:ind w:left="584" w:hanging="360"/>
      </w:p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2F6901F9"/>
    <w:multiLevelType w:val="hybridMultilevel"/>
    <w:tmpl w:val="A8EE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1DFD"/>
    <w:multiLevelType w:val="multilevel"/>
    <w:tmpl w:val="40125B4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863158"/>
    <w:multiLevelType w:val="hybridMultilevel"/>
    <w:tmpl w:val="BCBAE28C"/>
    <w:lvl w:ilvl="0" w:tplc="0419000F">
      <w:start w:val="1"/>
      <w:numFmt w:val="decimal"/>
      <w:lvlText w:val="%1."/>
      <w:lvlJc w:val="left"/>
      <w:pPr>
        <w:ind w:left="584" w:hanging="360"/>
      </w:p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 w15:restartNumberingAfterBreak="0">
    <w:nsid w:val="376C6B64"/>
    <w:multiLevelType w:val="hybridMultilevel"/>
    <w:tmpl w:val="4ACAACBA"/>
    <w:lvl w:ilvl="0" w:tplc="4962A338">
      <w:start w:val="1"/>
      <w:numFmt w:val="bullet"/>
      <w:suff w:val="space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067ECF"/>
    <w:multiLevelType w:val="hybridMultilevel"/>
    <w:tmpl w:val="B5563A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4F3059B0">
      <w:start w:val="1"/>
      <w:numFmt w:val="decimal"/>
      <w:lvlText w:val="2.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00D1"/>
    <w:multiLevelType w:val="hybridMultilevel"/>
    <w:tmpl w:val="1C229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0C3"/>
    <w:multiLevelType w:val="multilevel"/>
    <w:tmpl w:val="5A2EF49C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FB30A0"/>
    <w:multiLevelType w:val="hybridMultilevel"/>
    <w:tmpl w:val="3AA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40DDB"/>
    <w:multiLevelType w:val="multilevel"/>
    <w:tmpl w:val="779C09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F64202"/>
    <w:multiLevelType w:val="multilevel"/>
    <w:tmpl w:val="2554740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40A2"/>
    <w:multiLevelType w:val="hybridMultilevel"/>
    <w:tmpl w:val="B5563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F3059B0">
      <w:start w:val="1"/>
      <w:numFmt w:val="decimal"/>
      <w:lvlText w:val="2.%2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1570C9D"/>
    <w:multiLevelType w:val="multilevel"/>
    <w:tmpl w:val="1542DC4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20271"/>
    <w:multiLevelType w:val="hybridMultilevel"/>
    <w:tmpl w:val="AE00DB52"/>
    <w:lvl w:ilvl="0" w:tplc="E32A82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9"/>
    <w:rsid w:val="00032DF7"/>
    <w:rsid w:val="000402AC"/>
    <w:rsid w:val="000F0698"/>
    <w:rsid w:val="00125F0E"/>
    <w:rsid w:val="00130237"/>
    <w:rsid w:val="001453B8"/>
    <w:rsid w:val="002B76C2"/>
    <w:rsid w:val="002C49B2"/>
    <w:rsid w:val="002E3033"/>
    <w:rsid w:val="002E52B6"/>
    <w:rsid w:val="00301DF9"/>
    <w:rsid w:val="00321C6E"/>
    <w:rsid w:val="00390C06"/>
    <w:rsid w:val="00391F2F"/>
    <w:rsid w:val="003D42E0"/>
    <w:rsid w:val="003E6573"/>
    <w:rsid w:val="00417295"/>
    <w:rsid w:val="00436CEE"/>
    <w:rsid w:val="004754AB"/>
    <w:rsid w:val="00524617"/>
    <w:rsid w:val="00541D29"/>
    <w:rsid w:val="007310D1"/>
    <w:rsid w:val="00732D88"/>
    <w:rsid w:val="00733A19"/>
    <w:rsid w:val="007819E4"/>
    <w:rsid w:val="00782D76"/>
    <w:rsid w:val="007D72D8"/>
    <w:rsid w:val="007E2F88"/>
    <w:rsid w:val="007F47BE"/>
    <w:rsid w:val="00837A53"/>
    <w:rsid w:val="00864D4F"/>
    <w:rsid w:val="008C3E63"/>
    <w:rsid w:val="008D3BE6"/>
    <w:rsid w:val="00980123"/>
    <w:rsid w:val="00980EFC"/>
    <w:rsid w:val="0098237F"/>
    <w:rsid w:val="009E478A"/>
    <w:rsid w:val="009F2D4F"/>
    <w:rsid w:val="00A24758"/>
    <w:rsid w:val="00A5374F"/>
    <w:rsid w:val="00AB43BA"/>
    <w:rsid w:val="00B64768"/>
    <w:rsid w:val="00B65571"/>
    <w:rsid w:val="00BA009F"/>
    <w:rsid w:val="00BA38A9"/>
    <w:rsid w:val="00C100AA"/>
    <w:rsid w:val="00C44734"/>
    <w:rsid w:val="00D47B07"/>
    <w:rsid w:val="00DA2632"/>
    <w:rsid w:val="00DA5676"/>
    <w:rsid w:val="00E021DD"/>
    <w:rsid w:val="00E94F77"/>
    <w:rsid w:val="00EE636B"/>
    <w:rsid w:val="00F032ED"/>
    <w:rsid w:val="00FE70E8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4B0"/>
  <w15:chartTrackingRefBased/>
  <w15:docId w15:val="{979B0E17-2F23-4FFB-9C87-9400947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032ED"/>
    <w:pPr>
      <w:ind w:left="720"/>
      <w:contextualSpacing/>
    </w:pPr>
  </w:style>
  <w:style w:type="table" w:styleId="a8">
    <w:name w:val="Table Grid"/>
    <w:basedOn w:val="a1"/>
    <w:uiPriority w:val="59"/>
    <w:rsid w:val="00F0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F032ED"/>
  </w:style>
  <w:style w:type="paragraph" w:customStyle="1" w:styleId="a9">
    <w:name w:val="заголовок"/>
    <w:basedOn w:val="aa"/>
    <w:uiPriority w:val="99"/>
    <w:qFormat/>
    <w:rsid w:val="00F032ED"/>
    <w:pPr>
      <w:widowControl w:val="0"/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F032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F7F0-E08E-4EBE-BF0A-9DF58D63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 Андрей Владимирович</dc:creator>
  <cp:keywords/>
  <dc:description/>
  <cp:lastModifiedBy>Сафаралеева Елена Юрьевна</cp:lastModifiedBy>
  <cp:revision>2</cp:revision>
  <cp:lastPrinted>2020-08-05T04:41:00Z</cp:lastPrinted>
  <dcterms:created xsi:type="dcterms:W3CDTF">2021-04-07T10:57:00Z</dcterms:created>
  <dcterms:modified xsi:type="dcterms:W3CDTF">2021-04-07T10:57:00Z</dcterms:modified>
</cp:coreProperties>
</file>