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/>
          <w:bCs/>
        </w:rPr>
        <w:t xml:space="preserve">Протокол</w:t>
      </w:r>
    </w:p>
    <w:p>
      <w:pPr>
        <w:jc w:val="center"/>
      </w:pPr>
      <w:r>
        <w:rPr>
          <w:b/>
          <w:bCs/>
        </w:rPr>
        <w:t xml:space="preserve">Сопоставления ценовых предложений в процедуре</w:t>
      </w:r>
    </w:p>
    <w:p>
      <w:pPr>
        <w:jc w:val="center"/>
      </w:pPr>
      <w:r>
        <w:rPr>
          <w:b/>
          <w:bCs/>
        </w:rPr>
        <w:t xml:space="preserve">32110129778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>г. Москва</w:t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«16» апреля 2021г.</w:t>
            </w:r>
          </w:p>
        </w:tc>
      </w:tr>
    </w:tbl>
    <w:p>
      <w:pPr/>
      <w:br/>
      <w:r>
        <w:rPr/>
        <w:t xml:space="preserve">Заказчиком является: </w:t>
      </w:r>
      <w:r>
        <w:rPr/>
        <w:t xml:space="preserve">АКЦИОНЕРНОЕ ОБЩЕСТВО "ЭЛЕКТРОННАЯ МОСКВА"</w:t>
      </w:r>
      <w:br/>
      <w:r>
        <w:rPr/>
        <w:t xml:space="preserve">Способ закупки: </w:t>
      </w:r>
      <w:r>
        <w:rPr/>
        <w:t xml:space="preserve">Аукцион в электронной форме, участниками которого могут быть только субъекты малого и среднего предпринимательства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Наименование процедуры и предмет договора лота:</w:t>
      </w:r>
      <w:br/>
      <w:r>
        <w:rPr/>
        <w:t xml:space="preserve">Предоставление прав использования программного обеспечения «Автоматизированная система оценки и рейтингования модулей индексации данных видеоаналитики» на основе простой (неисключительной) лицензии, Предоставление прав использования программного обеспечения «Автоматизированная система оценки и рейтингования модулей индексации данных видеоаналитики» на основе простой (неисключительной) лицензии</w:t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Начальная (максимальная) цена договора, лота:</w:t>
      </w:r>
      <w:br/>
      <w:r>
        <w:rPr/>
        <w:t xml:space="preserve">45 000 000.00 (Российский рубль) (с учетом НДС)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«26» марта 2021г. на сайте АО «Единая электронная торговая площадка» (АО «ЕЭТП»), по адресу в сети «Интернет»: https://msp.roseltorg.ru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Ценовые предложения в таблице выводятся в порядке возрастания номера заявки Участника. Победитель определяется Заказчиком в соответствии с требованиями документации о закупке и поданными ценовыми предложениями в рамках итогового протокола.</w:t>
      </w:r>
    </w:p>
    <w:p/>
    <w:tbl>
      <w:tblGrid>
        <w:gridCol w:w="1700" w:type="dxa"/>
        <w:gridCol w:w="1700" w:type="dxa"/>
        <w:gridCol w:w="1700" w:type="dxa"/>
        <w:gridCol w:w="1700" w:type="dxa"/>
        <w:gridCol w:w="1700" w:type="dxa"/>
        <w:gridCol w:w="1700" w:type="dxa"/>
        <w:gridCol w:w="1700" w:type="dxa"/>
        <w:gridCol w:w="1700" w:type="dxa"/>
      </w:tblGrid>
      <w:tblPr>
        <w:tblStyle w:val="style44528"/>
      </w:tblP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№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Наименование участника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вне шага с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вне шага без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с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без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Ставка НДС,%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Дата и время регистрации заявок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615549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№615549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44 100 000.00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36 750 000.00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16.04.2021 10:39:00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617360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№617360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44 325 000.00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36 937 500.00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16.04.2021 10:38:26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617522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№617522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44 775 000.00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37 312 500.00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16.04.2021 10:36:40</w:t>
            </w:r>
          </w:p>
        </w:tc>
      </w:tr>
    </w:tbl>
    <w:p>
      <w:pPr>
        <w:pPr>
          <w:pStyle w:val="P-Style"/>
        </w:pPr>
        <w:numPr>
          <w:ilvl w:val="0"/>
          <w:numId w:val="4"/>
        </w:numPr>
      </w:pPr>
      <w:r>
        <w:rPr/>
        <w:t xml:space="preserve">В силу регламентированного порядка интеграционного взаимодействия между Оператором электронной торговой площадки и ЕИС, Оператор направляет в структурированном виде в ЕИС значение ценового предложения, признак НДС которого совпадает с признаком поля «Базис сравнения» извещения процедуры.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Протокол сопоставления ценовых предложений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60E1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9E196C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/>
      <w:bCs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44528">
    <w:name w:val="style44528"/>
    <w:uiPriority w:val="99"/>
    <w:tblPr>
      <w:tblW w:w="0" w:type="auto"/>
      <w:tblLayout w:type="autofit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2021-04-16T10:59:02+03:00</dcterms:created>
  <dcterms:modified xsi:type="dcterms:W3CDTF">2021-04-16T10:59:02+03:00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