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ценовых предложений в процедуре</w:t>
      </w:r>
    </w:p>
    <w:p>
      <w:pPr>
        <w:jc w:val="center"/>
      </w:pPr>
      <w:r>
        <w:rPr>
          <w:b/>
          <w:bCs/>
        </w:rPr>
        <w:t xml:space="preserve">32009642483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«23» ноября 2020г.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"ЭЛЕКТРОННАЯ МОСКВА"</w:t>
      </w:r>
      <w:br/>
      <w:r>
        <w:rPr/>
        <w:t xml:space="preserve">Способ закупки: </w:t>
      </w:r>
      <w:r>
        <w:rPr/>
        <w:t xml:space="preserve">Аукцион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 и предмет договора лота:</w:t>
      </w:r>
      <w:br/>
      <w:r>
        <w:rPr/>
        <w:t xml:space="preserve">Выполнение работ по созданию компонента защиты информации аппаратно-программного комплекса видеодетектирования и формирования индексных данных АО «Электронная Москва», Выполнение работ по созданию компонента защиты информации аппаратно-программного комплекса видеодетектирования и формирования индексных данных АО «Электронная Москва»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237 801 998.13 (Российский рубль) (с учетом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«02» ноября 2020г.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Участниками были проведены торги, ценовые предложения указаны в базисе сравнения, согласно Документации о закупке и по их итогам получены следующие результаты:</w:t>
      </w:r>
    </w:p>
    <w:p/>
    <w:tbl>
      <w:tblGrid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  <w:gridCol w:w="1700" w:type="dxa"/>
      </w:tblGrid>
      <w:tblPr>
        <w:tblStyle w:val="style15124"/>
      </w:tblP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№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Наименование участника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вне шага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НДС,%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506170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№506170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235 423 978.15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196 186 648.45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23.11.2020 10:53:30</w:t>
            </w:r>
          </w:p>
        </w:tc>
      </w:tr>
      <w:tr>
        <w:trPr/>
        <w:tc>
          <w:tcPr>
            <w:tcW w:w="1700" w:type="dxa"/>
          </w:tcPr>
          <w:p>
            <w:pPr>
              <w:jc w:val="center"/>
            </w:pPr>
            <w:r>
              <w:rPr/>
              <w:t xml:space="preserve">512809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Участник №512809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236 612 988.14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197 177 490.11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23.11.2020 10:51:47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Единой информационной системы в сфере закупок (ЕИС) по адресу в сети «Интернет»: http://zakupki.gov.ru, и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610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E99CC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15124">
    <w:name w:val="style15124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2020-11-23T11:13:31+03:00</dcterms:created>
  <dcterms:modified xsi:type="dcterms:W3CDTF">2020-11-23T11:13:31+03:00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